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1D1C8">
      <w:pPr>
        <w:pStyle w:val="2"/>
        <w:widowControl/>
        <w:adjustRightInd w:val="0"/>
        <w:snapToGrid w:val="0"/>
        <w:spacing w:line="480" w:lineRule="auto"/>
        <w:ind w:firstLine="562"/>
        <w:rPr>
          <w:rFonts w:ascii="Times New Roman" w:hAnsi="Times New Roman" w:eastAsia="仿宋" w:cs="Times New Roman"/>
          <w:b/>
          <w:color w:val="auto"/>
          <w:kern w:val="0"/>
          <w:sz w:val="28"/>
          <w:szCs w:val="28"/>
          <w:lang w:val="en-US" w:eastAsia="zh-CN" w:bidi="ar-SA"/>
        </w:rPr>
      </w:pPr>
      <w:bookmarkStart w:id="0" w:name="_Toc17820"/>
      <w:bookmarkStart w:id="1" w:name="_Toc19748"/>
      <w:bookmarkStart w:id="2" w:name="_Toc29573"/>
      <w:bookmarkStart w:id="3" w:name="_Toc20053"/>
      <w:bookmarkStart w:id="4" w:name="_Toc25782"/>
      <w:bookmarkStart w:id="5" w:name="_Toc28247"/>
      <w:r>
        <w:rPr>
          <w:rFonts w:eastAsia="仿宋"/>
          <w:bCs/>
          <w:color w:val="auto"/>
          <w:sz w:val="40"/>
          <w:szCs w:val="40"/>
        </w:rPr>
        <w:t>目  录</w:t>
      </w:r>
      <w:bookmarkEnd w:id="0"/>
      <w:r>
        <w:rPr>
          <w:rFonts w:eastAsia="仿宋"/>
          <w:color w:val="auto"/>
          <w:kern w:val="0"/>
          <w:sz w:val="28"/>
          <w:szCs w:val="28"/>
        </w:rPr>
        <w:fldChar w:fldCharType="begin"/>
      </w:r>
      <w:r>
        <w:rPr>
          <w:rFonts w:eastAsia="仿宋"/>
          <w:color w:val="auto"/>
          <w:kern w:val="0"/>
          <w:sz w:val="28"/>
          <w:szCs w:val="28"/>
        </w:rPr>
        <w:instrText xml:space="preserve">TOC \o "1-2" \h \u </w:instrText>
      </w:r>
      <w:r>
        <w:rPr>
          <w:rFonts w:eastAsia="仿宋"/>
          <w:color w:val="auto"/>
          <w:kern w:val="0"/>
          <w:sz w:val="28"/>
          <w:szCs w:val="28"/>
        </w:rPr>
        <w:fldChar w:fldCharType="separate"/>
      </w:r>
    </w:p>
    <w:p w14:paraId="5936295B">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_Toc1810 </w:instrText>
      </w:r>
      <w:r>
        <w:rPr>
          <w:rFonts w:eastAsia="仿宋"/>
          <w:kern w:val="0"/>
          <w:szCs w:val="28"/>
        </w:rPr>
        <w:fldChar w:fldCharType="separate"/>
      </w:r>
      <w:r>
        <w:rPr>
          <w:rFonts w:eastAsia="仿宋"/>
          <w:szCs w:val="22"/>
        </w:rPr>
        <w:t>1 项目及项目区概况</w:t>
      </w:r>
      <w:r>
        <w:tab/>
      </w:r>
      <w:r>
        <w:fldChar w:fldCharType="begin"/>
      </w:r>
      <w:r>
        <w:instrText xml:space="preserve"> PAGEREF _Toc1810 \h </w:instrText>
      </w:r>
      <w:r>
        <w:fldChar w:fldCharType="separate"/>
      </w:r>
      <w:r>
        <w:t>1</w:t>
      </w:r>
      <w:r>
        <w:fldChar w:fldCharType="end"/>
      </w:r>
      <w:r>
        <w:rPr>
          <w:rFonts w:eastAsia="仿宋"/>
          <w:color w:val="auto"/>
          <w:kern w:val="0"/>
          <w:szCs w:val="28"/>
        </w:rPr>
        <w:fldChar w:fldCharType="end"/>
      </w:r>
    </w:p>
    <w:p w14:paraId="07F57566">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_Toc10840 </w:instrText>
      </w:r>
      <w:r>
        <w:rPr>
          <w:rFonts w:eastAsia="仿宋"/>
          <w:kern w:val="0"/>
          <w:szCs w:val="28"/>
        </w:rPr>
        <w:fldChar w:fldCharType="separate"/>
      </w:r>
      <w:r>
        <w:rPr>
          <w:rFonts w:eastAsia="仿宋"/>
          <w:kern w:val="0"/>
          <w:szCs w:val="30"/>
        </w:rPr>
        <w:t>1.1项目概况</w:t>
      </w:r>
      <w:r>
        <w:tab/>
      </w:r>
      <w:r>
        <w:fldChar w:fldCharType="begin"/>
      </w:r>
      <w:r>
        <w:instrText xml:space="preserve"> PAGEREF _Toc10840 \h </w:instrText>
      </w:r>
      <w:r>
        <w:fldChar w:fldCharType="separate"/>
      </w:r>
      <w:r>
        <w:t>1</w:t>
      </w:r>
      <w:r>
        <w:fldChar w:fldCharType="end"/>
      </w:r>
      <w:r>
        <w:rPr>
          <w:rFonts w:eastAsia="仿宋"/>
          <w:color w:val="auto"/>
          <w:kern w:val="0"/>
          <w:szCs w:val="28"/>
        </w:rPr>
        <w:fldChar w:fldCharType="end"/>
      </w:r>
    </w:p>
    <w:p w14:paraId="476E3631">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_Toc7047 </w:instrText>
      </w:r>
      <w:r>
        <w:rPr>
          <w:rFonts w:eastAsia="仿宋"/>
          <w:kern w:val="0"/>
          <w:szCs w:val="28"/>
        </w:rPr>
        <w:fldChar w:fldCharType="separate"/>
      </w:r>
      <w:r>
        <w:rPr>
          <w:rFonts w:eastAsia="仿宋"/>
          <w:kern w:val="0"/>
          <w:szCs w:val="30"/>
        </w:rPr>
        <w:t>1.2项目区概况</w:t>
      </w:r>
      <w:r>
        <w:tab/>
      </w:r>
      <w:r>
        <w:fldChar w:fldCharType="begin"/>
      </w:r>
      <w:r>
        <w:instrText xml:space="preserve"> PAGEREF _Toc7047 \h </w:instrText>
      </w:r>
      <w:r>
        <w:fldChar w:fldCharType="separate"/>
      </w:r>
      <w:r>
        <w:t>5</w:t>
      </w:r>
      <w:r>
        <w:fldChar w:fldCharType="end"/>
      </w:r>
      <w:r>
        <w:rPr>
          <w:rFonts w:eastAsia="仿宋"/>
          <w:color w:val="auto"/>
          <w:kern w:val="0"/>
          <w:szCs w:val="28"/>
        </w:rPr>
        <w:fldChar w:fldCharType="end"/>
      </w:r>
    </w:p>
    <w:p w14:paraId="7AB7E64D">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_Toc30821 </w:instrText>
      </w:r>
      <w:r>
        <w:rPr>
          <w:rFonts w:eastAsia="仿宋"/>
          <w:kern w:val="0"/>
          <w:szCs w:val="28"/>
        </w:rPr>
        <w:fldChar w:fldCharType="separate"/>
      </w:r>
      <w:r>
        <w:rPr>
          <w:rFonts w:eastAsia="仿宋"/>
          <w:szCs w:val="22"/>
        </w:rPr>
        <w:t>2  水土保持方案和设计情况</w:t>
      </w:r>
      <w:r>
        <w:tab/>
      </w:r>
      <w:r>
        <w:fldChar w:fldCharType="begin"/>
      </w:r>
      <w:r>
        <w:instrText xml:space="preserve"> PAGEREF _Toc30821 \h </w:instrText>
      </w:r>
      <w:r>
        <w:fldChar w:fldCharType="separate"/>
      </w:r>
      <w:r>
        <w:t>10</w:t>
      </w:r>
      <w:r>
        <w:fldChar w:fldCharType="end"/>
      </w:r>
      <w:r>
        <w:rPr>
          <w:rFonts w:eastAsia="仿宋"/>
          <w:color w:val="auto"/>
          <w:kern w:val="0"/>
          <w:szCs w:val="28"/>
        </w:rPr>
        <w:fldChar w:fldCharType="end"/>
      </w:r>
    </w:p>
    <w:p w14:paraId="23A46D1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_Toc19513 </w:instrText>
      </w:r>
      <w:r>
        <w:rPr>
          <w:rFonts w:eastAsia="仿宋"/>
          <w:kern w:val="0"/>
          <w:szCs w:val="28"/>
        </w:rPr>
        <w:fldChar w:fldCharType="separate"/>
      </w:r>
      <w:r>
        <w:rPr>
          <w:rFonts w:eastAsia="仿宋"/>
          <w:kern w:val="0"/>
          <w:szCs w:val="30"/>
        </w:rPr>
        <w:t>2.1主体工程设计</w:t>
      </w:r>
      <w:r>
        <w:tab/>
      </w:r>
      <w:r>
        <w:fldChar w:fldCharType="begin"/>
      </w:r>
      <w:r>
        <w:instrText xml:space="preserve"> PAGEREF _Toc19513 \h </w:instrText>
      </w:r>
      <w:r>
        <w:fldChar w:fldCharType="separate"/>
      </w:r>
      <w:r>
        <w:t>10</w:t>
      </w:r>
      <w:r>
        <w:fldChar w:fldCharType="end"/>
      </w:r>
      <w:r>
        <w:rPr>
          <w:rFonts w:eastAsia="仿宋"/>
          <w:color w:val="auto"/>
          <w:kern w:val="0"/>
          <w:szCs w:val="28"/>
        </w:rPr>
        <w:fldChar w:fldCharType="end"/>
      </w:r>
    </w:p>
    <w:p w14:paraId="75282F4D">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_Toc24164 </w:instrText>
      </w:r>
      <w:r>
        <w:rPr>
          <w:rFonts w:eastAsia="仿宋"/>
          <w:kern w:val="0"/>
          <w:szCs w:val="28"/>
        </w:rPr>
        <w:fldChar w:fldCharType="separate"/>
      </w:r>
      <w:r>
        <w:rPr>
          <w:rFonts w:eastAsia="仿宋"/>
          <w:kern w:val="0"/>
          <w:szCs w:val="30"/>
        </w:rPr>
        <w:t>2.2水土保持方案</w:t>
      </w:r>
      <w:r>
        <w:tab/>
      </w:r>
      <w:r>
        <w:fldChar w:fldCharType="begin"/>
      </w:r>
      <w:r>
        <w:instrText xml:space="preserve"> PAGEREF _Toc24164 \h </w:instrText>
      </w:r>
      <w:r>
        <w:fldChar w:fldCharType="separate"/>
      </w:r>
      <w:r>
        <w:t>10</w:t>
      </w:r>
      <w:r>
        <w:fldChar w:fldCharType="end"/>
      </w:r>
      <w:r>
        <w:rPr>
          <w:rFonts w:eastAsia="仿宋"/>
          <w:color w:val="auto"/>
          <w:kern w:val="0"/>
          <w:szCs w:val="28"/>
        </w:rPr>
        <w:fldChar w:fldCharType="end"/>
      </w:r>
    </w:p>
    <w:p w14:paraId="579A7406">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_Toc22565 </w:instrText>
      </w:r>
      <w:r>
        <w:rPr>
          <w:rFonts w:eastAsia="仿宋"/>
          <w:kern w:val="0"/>
          <w:szCs w:val="28"/>
        </w:rPr>
        <w:fldChar w:fldCharType="separate"/>
      </w:r>
      <w:r>
        <w:rPr>
          <w:rFonts w:eastAsia="仿宋"/>
          <w:kern w:val="0"/>
          <w:szCs w:val="30"/>
        </w:rPr>
        <w:t>2.3水土保持方案变更</w:t>
      </w:r>
      <w:r>
        <w:tab/>
      </w:r>
      <w:r>
        <w:fldChar w:fldCharType="begin"/>
      </w:r>
      <w:r>
        <w:instrText xml:space="preserve"> PAGEREF _Toc22565 \h </w:instrText>
      </w:r>
      <w:r>
        <w:fldChar w:fldCharType="separate"/>
      </w:r>
      <w:r>
        <w:t>10</w:t>
      </w:r>
      <w:r>
        <w:fldChar w:fldCharType="end"/>
      </w:r>
      <w:r>
        <w:rPr>
          <w:rFonts w:eastAsia="仿宋"/>
          <w:color w:val="auto"/>
          <w:kern w:val="0"/>
          <w:szCs w:val="28"/>
        </w:rPr>
        <w:fldChar w:fldCharType="end"/>
      </w:r>
    </w:p>
    <w:p w14:paraId="26EC11E8">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_Toc3722 </w:instrText>
      </w:r>
      <w:r>
        <w:rPr>
          <w:rFonts w:eastAsia="仿宋"/>
          <w:kern w:val="0"/>
          <w:szCs w:val="28"/>
        </w:rPr>
        <w:fldChar w:fldCharType="separate"/>
      </w:r>
      <w:r>
        <w:rPr>
          <w:rFonts w:eastAsia="仿宋"/>
          <w:kern w:val="0"/>
          <w:szCs w:val="30"/>
        </w:rPr>
        <w:t>2.4水土保持后续设计</w:t>
      </w:r>
      <w:r>
        <w:tab/>
      </w:r>
      <w:r>
        <w:fldChar w:fldCharType="begin"/>
      </w:r>
      <w:r>
        <w:instrText xml:space="preserve"> PAGEREF _Toc3722 \h </w:instrText>
      </w:r>
      <w:r>
        <w:fldChar w:fldCharType="separate"/>
      </w:r>
      <w:r>
        <w:t>11</w:t>
      </w:r>
      <w:r>
        <w:fldChar w:fldCharType="end"/>
      </w:r>
      <w:r>
        <w:rPr>
          <w:rFonts w:eastAsia="仿宋"/>
          <w:color w:val="auto"/>
          <w:kern w:val="0"/>
          <w:szCs w:val="28"/>
        </w:rPr>
        <w:fldChar w:fldCharType="end"/>
      </w:r>
    </w:p>
    <w:p w14:paraId="03109882">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_Toc8975 </w:instrText>
      </w:r>
      <w:r>
        <w:rPr>
          <w:rFonts w:eastAsia="仿宋"/>
          <w:kern w:val="0"/>
          <w:szCs w:val="28"/>
        </w:rPr>
        <w:fldChar w:fldCharType="separate"/>
      </w:r>
      <w:r>
        <w:rPr>
          <w:rFonts w:eastAsia="仿宋"/>
          <w:szCs w:val="22"/>
        </w:rPr>
        <w:t>3  水土保持设施建设情况评估</w:t>
      </w:r>
      <w:r>
        <w:tab/>
      </w:r>
      <w:r>
        <w:fldChar w:fldCharType="begin"/>
      </w:r>
      <w:r>
        <w:instrText xml:space="preserve"> PAGEREF _Toc8975 \h </w:instrText>
      </w:r>
      <w:r>
        <w:fldChar w:fldCharType="separate"/>
      </w:r>
      <w:r>
        <w:t>12</w:t>
      </w:r>
      <w:r>
        <w:fldChar w:fldCharType="end"/>
      </w:r>
      <w:r>
        <w:rPr>
          <w:rFonts w:eastAsia="仿宋"/>
          <w:color w:val="auto"/>
          <w:kern w:val="0"/>
          <w:szCs w:val="28"/>
        </w:rPr>
        <w:fldChar w:fldCharType="end"/>
      </w:r>
    </w:p>
    <w:p w14:paraId="6F8C0710">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_Toc5714 </w:instrText>
      </w:r>
      <w:r>
        <w:rPr>
          <w:rFonts w:eastAsia="仿宋"/>
          <w:kern w:val="0"/>
          <w:szCs w:val="28"/>
        </w:rPr>
        <w:fldChar w:fldCharType="separate"/>
      </w:r>
      <w:r>
        <w:rPr>
          <w:rFonts w:eastAsia="仿宋"/>
          <w:kern w:val="0"/>
          <w:szCs w:val="30"/>
        </w:rPr>
        <w:t>3.1水土流失防治责任范围</w:t>
      </w:r>
      <w:r>
        <w:tab/>
      </w:r>
      <w:r>
        <w:fldChar w:fldCharType="begin"/>
      </w:r>
      <w:r>
        <w:instrText xml:space="preserve"> PAGEREF _Toc5714 \h </w:instrText>
      </w:r>
      <w:r>
        <w:fldChar w:fldCharType="separate"/>
      </w:r>
      <w:r>
        <w:t>12</w:t>
      </w:r>
      <w:r>
        <w:fldChar w:fldCharType="end"/>
      </w:r>
      <w:r>
        <w:rPr>
          <w:rFonts w:eastAsia="仿宋"/>
          <w:color w:val="auto"/>
          <w:kern w:val="0"/>
          <w:szCs w:val="28"/>
        </w:rPr>
        <w:fldChar w:fldCharType="end"/>
      </w:r>
    </w:p>
    <w:p w14:paraId="1D1A28E6">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_Toc25160 </w:instrText>
      </w:r>
      <w:r>
        <w:rPr>
          <w:rFonts w:eastAsia="仿宋"/>
          <w:kern w:val="0"/>
          <w:szCs w:val="28"/>
        </w:rPr>
        <w:fldChar w:fldCharType="separate"/>
      </w:r>
      <w:r>
        <w:rPr>
          <w:rFonts w:eastAsia="仿宋"/>
          <w:kern w:val="0"/>
          <w:szCs w:val="30"/>
        </w:rPr>
        <w:t>3.2弃渣场设置</w:t>
      </w:r>
      <w:r>
        <w:tab/>
      </w:r>
      <w:r>
        <w:fldChar w:fldCharType="begin"/>
      </w:r>
      <w:r>
        <w:instrText xml:space="preserve"> PAGEREF _Toc25160 \h </w:instrText>
      </w:r>
      <w:r>
        <w:fldChar w:fldCharType="separate"/>
      </w:r>
      <w:r>
        <w:t>12</w:t>
      </w:r>
      <w:r>
        <w:fldChar w:fldCharType="end"/>
      </w:r>
      <w:r>
        <w:rPr>
          <w:rFonts w:eastAsia="仿宋"/>
          <w:color w:val="auto"/>
          <w:kern w:val="0"/>
          <w:szCs w:val="28"/>
        </w:rPr>
        <w:fldChar w:fldCharType="end"/>
      </w:r>
    </w:p>
    <w:p w14:paraId="2D49124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_Toc9367 </w:instrText>
      </w:r>
      <w:r>
        <w:rPr>
          <w:rFonts w:eastAsia="仿宋"/>
          <w:kern w:val="0"/>
          <w:szCs w:val="28"/>
        </w:rPr>
        <w:fldChar w:fldCharType="separate"/>
      </w:r>
      <w:r>
        <w:rPr>
          <w:rFonts w:eastAsia="仿宋"/>
          <w:kern w:val="0"/>
          <w:szCs w:val="30"/>
        </w:rPr>
        <w:t>3.3取土场设置</w:t>
      </w:r>
      <w:r>
        <w:tab/>
      </w:r>
      <w:r>
        <w:fldChar w:fldCharType="begin"/>
      </w:r>
      <w:r>
        <w:instrText xml:space="preserve"> PAGEREF _Toc9367 \h </w:instrText>
      </w:r>
      <w:r>
        <w:fldChar w:fldCharType="separate"/>
      </w:r>
      <w:r>
        <w:t>12</w:t>
      </w:r>
      <w:r>
        <w:fldChar w:fldCharType="end"/>
      </w:r>
      <w:r>
        <w:rPr>
          <w:rFonts w:eastAsia="仿宋"/>
          <w:color w:val="auto"/>
          <w:kern w:val="0"/>
          <w:szCs w:val="28"/>
        </w:rPr>
        <w:fldChar w:fldCharType="end"/>
      </w:r>
    </w:p>
    <w:p w14:paraId="740364F5">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_Toc25795 </w:instrText>
      </w:r>
      <w:r>
        <w:rPr>
          <w:rFonts w:eastAsia="仿宋"/>
          <w:kern w:val="0"/>
          <w:szCs w:val="28"/>
        </w:rPr>
        <w:fldChar w:fldCharType="separate"/>
      </w:r>
      <w:r>
        <w:rPr>
          <w:rFonts w:eastAsia="仿宋"/>
          <w:kern w:val="0"/>
          <w:szCs w:val="30"/>
        </w:rPr>
        <w:t>3.4水土保持措施总体布局</w:t>
      </w:r>
      <w:r>
        <w:tab/>
      </w:r>
      <w:r>
        <w:fldChar w:fldCharType="begin"/>
      </w:r>
      <w:r>
        <w:instrText xml:space="preserve"> PAGEREF _Toc25795 \h </w:instrText>
      </w:r>
      <w:r>
        <w:fldChar w:fldCharType="separate"/>
      </w:r>
      <w:r>
        <w:t>12</w:t>
      </w:r>
      <w:r>
        <w:fldChar w:fldCharType="end"/>
      </w:r>
      <w:r>
        <w:rPr>
          <w:rFonts w:eastAsia="仿宋"/>
          <w:color w:val="auto"/>
          <w:kern w:val="0"/>
          <w:szCs w:val="28"/>
        </w:rPr>
        <w:fldChar w:fldCharType="end"/>
      </w:r>
    </w:p>
    <w:p w14:paraId="6FBB853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_Toc25062 </w:instrText>
      </w:r>
      <w:r>
        <w:rPr>
          <w:rFonts w:eastAsia="仿宋"/>
          <w:kern w:val="0"/>
          <w:szCs w:val="28"/>
        </w:rPr>
        <w:fldChar w:fldCharType="separate"/>
      </w:r>
      <w:r>
        <w:rPr>
          <w:rFonts w:eastAsia="仿宋"/>
          <w:kern w:val="0"/>
          <w:szCs w:val="30"/>
        </w:rPr>
        <w:t>3.5水土保持设施完成情况</w:t>
      </w:r>
      <w:r>
        <w:tab/>
      </w:r>
      <w:r>
        <w:fldChar w:fldCharType="begin"/>
      </w:r>
      <w:r>
        <w:instrText xml:space="preserve"> PAGEREF _Toc25062 \h </w:instrText>
      </w:r>
      <w:r>
        <w:fldChar w:fldCharType="separate"/>
      </w:r>
      <w:r>
        <w:t>13</w:t>
      </w:r>
      <w:r>
        <w:fldChar w:fldCharType="end"/>
      </w:r>
      <w:r>
        <w:rPr>
          <w:rFonts w:eastAsia="仿宋"/>
          <w:color w:val="auto"/>
          <w:kern w:val="0"/>
          <w:szCs w:val="28"/>
        </w:rPr>
        <w:fldChar w:fldCharType="end"/>
      </w:r>
    </w:p>
    <w:p w14:paraId="44280EB4">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_Toc30901 </w:instrText>
      </w:r>
      <w:r>
        <w:rPr>
          <w:rFonts w:eastAsia="仿宋"/>
          <w:kern w:val="0"/>
          <w:szCs w:val="28"/>
        </w:rPr>
        <w:fldChar w:fldCharType="separate"/>
      </w:r>
      <w:r>
        <w:rPr>
          <w:rFonts w:eastAsia="仿宋"/>
          <w:kern w:val="0"/>
          <w:szCs w:val="30"/>
        </w:rPr>
        <w:t>3.6水土保持投资完成情况</w:t>
      </w:r>
      <w:r>
        <w:tab/>
      </w:r>
      <w:r>
        <w:fldChar w:fldCharType="begin"/>
      </w:r>
      <w:r>
        <w:instrText xml:space="preserve"> PAGEREF _Toc30901 \h </w:instrText>
      </w:r>
      <w:r>
        <w:fldChar w:fldCharType="separate"/>
      </w:r>
      <w:r>
        <w:t>17</w:t>
      </w:r>
      <w:r>
        <w:fldChar w:fldCharType="end"/>
      </w:r>
      <w:r>
        <w:rPr>
          <w:rFonts w:eastAsia="仿宋"/>
          <w:color w:val="auto"/>
          <w:kern w:val="0"/>
          <w:szCs w:val="28"/>
        </w:rPr>
        <w:fldChar w:fldCharType="end"/>
      </w:r>
    </w:p>
    <w:p w14:paraId="3C4FB0E4">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_Toc29713 </w:instrText>
      </w:r>
      <w:r>
        <w:rPr>
          <w:rFonts w:eastAsia="仿宋"/>
          <w:kern w:val="0"/>
          <w:szCs w:val="28"/>
        </w:rPr>
        <w:fldChar w:fldCharType="separate"/>
      </w:r>
      <w:r>
        <w:rPr>
          <w:rFonts w:eastAsia="仿宋"/>
          <w:bCs w:val="0"/>
          <w:szCs w:val="22"/>
        </w:rPr>
        <w:t>4  水土保持工程质量</w:t>
      </w:r>
      <w:r>
        <w:tab/>
      </w:r>
      <w:r>
        <w:fldChar w:fldCharType="begin"/>
      </w:r>
      <w:r>
        <w:instrText xml:space="preserve"> PAGEREF _Toc29713 \h </w:instrText>
      </w:r>
      <w:r>
        <w:fldChar w:fldCharType="separate"/>
      </w:r>
      <w:r>
        <w:t>21</w:t>
      </w:r>
      <w:r>
        <w:fldChar w:fldCharType="end"/>
      </w:r>
      <w:r>
        <w:rPr>
          <w:rFonts w:eastAsia="仿宋"/>
          <w:color w:val="auto"/>
          <w:kern w:val="0"/>
          <w:szCs w:val="28"/>
        </w:rPr>
        <w:fldChar w:fldCharType="end"/>
      </w:r>
    </w:p>
    <w:p w14:paraId="39458DDB">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_Toc17235 </w:instrText>
      </w:r>
      <w:r>
        <w:rPr>
          <w:rFonts w:eastAsia="仿宋"/>
          <w:kern w:val="0"/>
          <w:szCs w:val="28"/>
        </w:rPr>
        <w:fldChar w:fldCharType="separate"/>
      </w:r>
      <w:r>
        <w:rPr>
          <w:rFonts w:eastAsia="仿宋"/>
          <w:kern w:val="0"/>
          <w:szCs w:val="30"/>
        </w:rPr>
        <w:t>4.1质量管理体系</w:t>
      </w:r>
      <w:r>
        <w:tab/>
      </w:r>
      <w:r>
        <w:fldChar w:fldCharType="begin"/>
      </w:r>
      <w:r>
        <w:instrText xml:space="preserve"> PAGEREF _Toc17235 \h </w:instrText>
      </w:r>
      <w:r>
        <w:fldChar w:fldCharType="separate"/>
      </w:r>
      <w:r>
        <w:t>21</w:t>
      </w:r>
      <w:r>
        <w:fldChar w:fldCharType="end"/>
      </w:r>
      <w:r>
        <w:rPr>
          <w:rFonts w:eastAsia="仿宋"/>
          <w:color w:val="auto"/>
          <w:kern w:val="0"/>
          <w:szCs w:val="28"/>
        </w:rPr>
        <w:fldChar w:fldCharType="end"/>
      </w:r>
    </w:p>
    <w:p w14:paraId="00D15D8D">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_Toc20347 </w:instrText>
      </w:r>
      <w:r>
        <w:rPr>
          <w:rFonts w:eastAsia="仿宋"/>
          <w:kern w:val="0"/>
          <w:szCs w:val="28"/>
        </w:rPr>
        <w:fldChar w:fldCharType="separate"/>
      </w:r>
      <w:r>
        <w:rPr>
          <w:rFonts w:eastAsia="仿宋"/>
          <w:kern w:val="0"/>
          <w:szCs w:val="30"/>
        </w:rPr>
        <w:t>4.2各防治分区水土保持工程质量评定</w:t>
      </w:r>
      <w:r>
        <w:tab/>
      </w:r>
      <w:r>
        <w:fldChar w:fldCharType="begin"/>
      </w:r>
      <w:r>
        <w:instrText xml:space="preserve"> PAGEREF _Toc20347 \h </w:instrText>
      </w:r>
      <w:r>
        <w:fldChar w:fldCharType="separate"/>
      </w:r>
      <w:r>
        <w:t>23</w:t>
      </w:r>
      <w:r>
        <w:fldChar w:fldCharType="end"/>
      </w:r>
      <w:r>
        <w:rPr>
          <w:rFonts w:eastAsia="仿宋"/>
          <w:color w:val="auto"/>
          <w:kern w:val="0"/>
          <w:szCs w:val="28"/>
        </w:rPr>
        <w:fldChar w:fldCharType="end"/>
      </w:r>
    </w:p>
    <w:p w14:paraId="613D6F4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_Toc17262 </w:instrText>
      </w:r>
      <w:r>
        <w:rPr>
          <w:rFonts w:eastAsia="仿宋"/>
          <w:kern w:val="0"/>
          <w:szCs w:val="28"/>
        </w:rPr>
        <w:fldChar w:fldCharType="separate"/>
      </w:r>
      <w:r>
        <w:rPr>
          <w:rFonts w:eastAsia="仿宋"/>
          <w:kern w:val="0"/>
          <w:szCs w:val="30"/>
        </w:rPr>
        <w:t>4.3弃渣场稳定性评估</w:t>
      </w:r>
      <w:r>
        <w:tab/>
      </w:r>
      <w:r>
        <w:fldChar w:fldCharType="begin"/>
      </w:r>
      <w:r>
        <w:instrText xml:space="preserve"> PAGEREF _Toc17262 \h </w:instrText>
      </w:r>
      <w:r>
        <w:fldChar w:fldCharType="separate"/>
      </w:r>
      <w:r>
        <w:t>28</w:t>
      </w:r>
      <w:r>
        <w:fldChar w:fldCharType="end"/>
      </w:r>
      <w:r>
        <w:rPr>
          <w:rFonts w:eastAsia="仿宋"/>
          <w:color w:val="auto"/>
          <w:kern w:val="0"/>
          <w:szCs w:val="28"/>
        </w:rPr>
        <w:fldChar w:fldCharType="end"/>
      </w:r>
    </w:p>
    <w:p w14:paraId="0ABF58D9">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_Toc19392 </w:instrText>
      </w:r>
      <w:r>
        <w:rPr>
          <w:rFonts w:eastAsia="仿宋"/>
          <w:kern w:val="0"/>
          <w:szCs w:val="28"/>
        </w:rPr>
        <w:fldChar w:fldCharType="separate"/>
      </w:r>
      <w:r>
        <w:rPr>
          <w:rFonts w:eastAsia="仿宋"/>
          <w:kern w:val="0"/>
          <w:szCs w:val="30"/>
        </w:rPr>
        <w:t>4.4总体质量评价</w:t>
      </w:r>
      <w:r>
        <w:tab/>
      </w:r>
      <w:r>
        <w:fldChar w:fldCharType="begin"/>
      </w:r>
      <w:r>
        <w:instrText xml:space="preserve"> PAGEREF _Toc19392 \h </w:instrText>
      </w:r>
      <w:r>
        <w:fldChar w:fldCharType="separate"/>
      </w:r>
      <w:r>
        <w:t>28</w:t>
      </w:r>
      <w:r>
        <w:fldChar w:fldCharType="end"/>
      </w:r>
      <w:r>
        <w:rPr>
          <w:rFonts w:eastAsia="仿宋"/>
          <w:color w:val="auto"/>
          <w:kern w:val="0"/>
          <w:szCs w:val="28"/>
        </w:rPr>
        <w:fldChar w:fldCharType="end"/>
      </w:r>
    </w:p>
    <w:p w14:paraId="51402CC5">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_Toc15868 </w:instrText>
      </w:r>
      <w:r>
        <w:rPr>
          <w:rFonts w:eastAsia="仿宋"/>
          <w:kern w:val="0"/>
          <w:szCs w:val="28"/>
        </w:rPr>
        <w:fldChar w:fldCharType="separate"/>
      </w:r>
      <w:r>
        <w:rPr>
          <w:rFonts w:eastAsia="仿宋"/>
          <w:szCs w:val="22"/>
        </w:rPr>
        <w:t>5</w:t>
      </w:r>
      <w:r>
        <w:rPr>
          <w:rFonts w:hint="eastAsia" w:eastAsia="仿宋"/>
          <w:szCs w:val="22"/>
        </w:rPr>
        <w:t xml:space="preserve"> </w:t>
      </w:r>
      <w:r>
        <w:rPr>
          <w:rFonts w:eastAsia="仿宋"/>
          <w:szCs w:val="22"/>
        </w:rPr>
        <w:t>工程初期运行及水土保持效果</w:t>
      </w:r>
      <w:r>
        <w:tab/>
      </w:r>
      <w:r>
        <w:fldChar w:fldCharType="begin"/>
      </w:r>
      <w:r>
        <w:instrText xml:space="preserve"> PAGEREF _Toc15868 \h </w:instrText>
      </w:r>
      <w:r>
        <w:fldChar w:fldCharType="separate"/>
      </w:r>
      <w:r>
        <w:t>29</w:t>
      </w:r>
      <w:r>
        <w:fldChar w:fldCharType="end"/>
      </w:r>
      <w:r>
        <w:rPr>
          <w:rFonts w:eastAsia="仿宋"/>
          <w:color w:val="auto"/>
          <w:kern w:val="0"/>
          <w:szCs w:val="28"/>
        </w:rPr>
        <w:fldChar w:fldCharType="end"/>
      </w:r>
    </w:p>
    <w:p w14:paraId="6A616299">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_Toc24227 </w:instrText>
      </w:r>
      <w:r>
        <w:rPr>
          <w:rFonts w:eastAsia="仿宋"/>
          <w:kern w:val="0"/>
          <w:szCs w:val="28"/>
        </w:rPr>
        <w:fldChar w:fldCharType="separate"/>
      </w:r>
      <w:r>
        <w:rPr>
          <w:kern w:val="0"/>
        </w:rPr>
        <w:t>5.1初期运行情况</w:t>
      </w:r>
      <w:r>
        <w:tab/>
      </w:r>
      <w:r>
        <w:fldChar w:fldCharType="begin"/>
      </w:r>
      <w:r>
        <w:instrText xml:space="preserve"> PAGEREF _Toc24227 \h </w:instrText>
      </w:r>
      <w:r>
        <w:fldChar w:fldCharType="separate"/>
      </w:r>
      <w:r>
        <w:t>29</w:t>
      </w:r>
      <w:r>
        <w:fldChar w:fldCharType="end"/>
      </w:r>
      <w:r>
        <w:rPr>
          <w:rFonts w:eastAsia="仿宋"/>
          <w:color w:val="auto"/>
          <w:kern w:val="0"/>
          <w:szCs w:val="28"/>
        </w:rPr>
        <w:fldChar w:fldCharType="end"/>
      </w:r>
    </w:p>
    <w:p w14:paraId="0B2796D1">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_Toc3019 </w:instrText>
      </w:r>
      <w:r>
        <w:rPr>
          <w:rFonts w:eastAsia="仿宋"/>
          <w:kern w:val="0"/>
          <w:szCs w:val="28"/>
        </w:rPr>
        <w:fldChar w:fldCharType="separate"/>
      </w:r>
      <w:r>
        <w:rPr>
          <w:kern w:val="0"/>
        </w:rPr>
        <w:t>5.2</w:t>
      </w:r>
      <w:r>
        <w:t>水土保持效果</w:t>
      </w:r>
      <w:r>
        <w:tab/>
      </w:r>
      <w:r>
        <w:fldChar w:fldCharType="begin"/>
      </w:r>
      <w:r>
        <w:instrText xml:space="preserve"> PAGEREF _Toc3019 \h </w:instrText>
      </w:r>
      <w:r>
        <w:fldChar w:fldCharType="separate"/>
      </w:r>
      <w:r>
        <w:t>29</w:t>
      </w:r>
      <w:r>
        <w:fldChar w:fldCharType="end"/>
      </w:r>
      <w:r>
        <w:rPr>
          <w:rFonts w:eastAsia="仿宋"/>
          <w:color w:val="auto"/>
          <w:kern w:val="0"/>
          <w:szCs w:val="28"/>
        </w:rPr>
        <w:fldChar w:fldCharType="end"/>
      </w:r>
    </w:p>
    <w:p w14:paraId="1C14C36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_Toc14186 </w:instrText>
      </w:r>
      <w:r>
        <w:rPr>
          <w:rFonts w:eastAsia="仿宋"/>
          <w:kern w:val="0"/>
          <w:szCs w:val="28"/>
        </w:rPr>
        <w:fldChar w:fldCharType="separate"/>
      </w:r>
      <w:r>
        <w:rPr>
          <w:rFonts w:eastAsia="仿宋"/>
          <w:kern w:val="0"/>
          <w:szCs w:val="30"/>
        </w:rPr>
        <w:t>5.3公众满意度调查</w:t>
      </w:r>
      <w:r>
        <w:tab/>
      </w:r>
      <w:r>
        <w:fldChar w:fldCharType="begin"/>
      </w:r>
      <w:r>
        <w:instrText xml:space="preserve"> PAGEREF _Toc14186 \h </w:instrText>
      </w:r>
      <w:r>
        <w:fldChar w:fldCharType="separate"/>
      </w:r>
      <w:r>
        <w:t>30</w:t>
      </w:r>
      <w:r>
        <w:fldChar w:fldCharType="end"/>
      </w:r>
      <w:r>
        <w:rPr>
          <w:rFonts w:eastAsia="仿宋"/>
          <w:color w:val="auto"/>
          <w:kern w:val="0"/>
          <w:szCs w:val="28"/>
        </w:rPr>
        <w:fldChar w:fldCharType="end"/>
      </w:r>
    </w:p>
    <w:p w14:paraId="3CE32154">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_Toc14837 </w:instrText>
      </w:r>
      <w:r>
        <w:rPr>
          <w:rFonts w:eastAsia="仿宋"/>
          <w:kern w:val="0"/>
          <w:szCs w:val="28"/>
        </w:rPr>
        <w:fldChar w:fldCharType="separate"/>
      </w:r>
      <w:r>
        <w:rPr>
          <w:rFonts w:eastAsia="仿宋"/>
          <w:szCs w:val="22"/>
        </w:rPr>
        <w:t>6 水土保持管理</w:t>
      </w:r>
      <w:r>
        <w:tab/>
      </w:r>
      <w:r>
        <w:fldChar w:fldCharType="begin"/>
      </w:r>
      <w:r>
        <w:instrText xml:space="preserve"> PAGEREF _Toc14837 \h </w:instrText>
      </w:r>
      <w:r>
        <w:fldChar w:fldCharType="separate"/>
      </w:r>
      <w:r>
        <w:t>31</w:t>
      </w:r>
      <w:r>
        <w:fldChar w:fldCharType="end"/>
      </w:r>
      <w:r>
        <w:rPr>
          <w:rFonts w:eastAsia="仿宋"/>
          <w:color w:val="auto"/>
          <w:kern w:val="0"/>
          <w:szCs w:val="28"/>
        </w:rPr>
        <w:fldChar w:fldCharType="end"/>
      </w:r>
    </w:p>
    <w:p w14:paraId="20BED974">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_Toc1550 </w:instrText>
      </w:r>
      <w:r>
        <w:rPr>
          <w:rFonts w:eastAsia="仿宋"/>
          <w:kern w:val="0"/>
          <w:szCs w:val="28"/>
        </w:rPr>
        <w:fldChar w:fldCharType="separate"/>
      </w:r>
      <w:r>
        <w:rPr>
          <w:rFonts w:eastAsia="仿宋"/>
          <w:kern w:val="0"/>
          <w:szCs w:val="30"/>
        </w:rPr>
        <w:t>6.1组织领导</w:t>
      </w:r>
      <w:r>
        <w:tab/>
      </w:r>
      <w:r>
        <w:fldChar w:fldCharType="begin"/>
      </w:r>
      <w:r>
        <w:instrText xml:space="preserve"> PAGEREF _Toc1550 \h </w:instrText>
      </w:r>
      <w:r>
        <w:fldChar w:fldCharType="separate"/>
      </w:r>
      <w:r>
        <w:t>31</w:t>
      </w:r>
      <w:r>
        <w:fldChar w:fldCharType="end"/>
      </w:r>
      <w:r>
        <w:rPr>
          <w:rFonts w:eastAsia="仿宋"/>
          <w:color w:val="auto"/>
          <w:kern w:val="0"/>
          <w:szCs w:val="28"/>
        </w:rPr>
        <w:fldChar w:fldCharType="end"/>
      </w:r>
    </w:p>
    <w:p w14:paraId="56C9504B">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_Toc15052 </w:instrText>
      </w:r>
      <w:r>
        <w:rPr>
          <w:rFonts w:eastAsia="仿宋"/>
          <w:kern w:val="0"/>
          <w:szCs w:val="28"/>
        </w:rPr>
        <w:fldChar w:fldCharType="separate"/>
      </w:r>
      <w:r>
        <w:rPr>
          <w:rFonts w:eastAsia="仿宋"/>
          <w:kern w:val="0"/>
          <w:szCs w:val="30"/>
        </w:rPr>
        <w:t>6.2规章制度</w:t>
      </w:r>
      <w:r>
        <w:tab/>
      </w:r>
      <w:r>
        <w:fldChar w:fldCharType="begin"/>
      </w:r>
      <w:r>
        <w:instrText xml:space="preserve"> PAGEREF _Toc15052 \h </w:instrText>
      </w:r>
      <w:r>
        <w:fldChar w:fldCharType="separate"/>
      </w:r>
      <w:r>
        <w:t>31</w:t>
      </w:r>
      <w:r>
        <w:fldChar w:fldCharType="end"/>
      </w:r>
      <w:r>
        <w:rPr>
          <w:rFonts w:eastAsia="仿宋"/>
          <w:color w:val="auto"/>
          <w:kern w:val="0"/>
          <w:szCs w:val="28"/>
        </w:rPr>
        <w:fldChar w:fldCharType="end"/>
      </w:r>
    </w:p>
    <w:p w14:paraId="3972CB18">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_Toc21730 </w:instrText>
      </w:r>
      <w:r>
        <w:rPr>
          <w:rFonts w:eastAsia="仿宋"/>
          <w:kern w:val="0"/>
          <w:szCs w:val="28"/>
        </w:rPr>
        <w:fldChar w:fldCharType="separate"/>
      </w:r>
      <w:r>
        <w:rPr>
          <w:rFonts w:eastAsia="仿宋"/>
          <w:kern w:val="0"/>
          <w:szCs w:val="30"/>
        </w:rPr>
        <w:t>6.3建设管理</w:t>
      </w:r>
      <w:r>
        <w:tab/>
      </w:r>
      <w:r>
        <w:fldChar w:fldCharType="begin"/>
      </w:r>
      <w:r>
        <w:instrText xml:space="preserve"> PAGEREF _Toc21730 \h </w:instrText>
      </w:r>
      <w:r>
        <w:fldChar w:fldCharType="separate"/>
      </w:r>
      <w:r>
        <w:t>32</w:t>
      </w:r>
      <w:r>
        <w:fldChar w:fldCharType="end"/>
      </w:r>
      <w:r>
        <w:rPr>
          <w:rFonts w:eastAsia="仿宋"/>
          <w:color w:val="auto"/>
          <w:kern w:val="0"/>
          <w:szCs w:val="28"/>
        </w:rPr>
        <w:fldChar w:fldCharType="end"/>
      </w:r>
    </w:p>
    <w:p w14:paraId="73682F6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_Toc4956 </w:instrText>
      </w:r>
      <w:r>
        <w:rPr>
          <w:rFonts w:eastAsia="仿宋"/>
          <w:kern w:val="0"/>
          <w:szCs w:val="28"/>
        </w:rPr>
        <w:fldChar w:fldCharType="separate"/>
      </w:r>
      <w:r>
        <w:rPr>
          <w:rFonts w:eastAsia="仿宋"/>
          <w:kern w:val="0"/>
          <w:szCs w:val="30"/>
        </w:rPr>
        <w:t>6.4水土保持监测</w:t>
      </w:r>
      <w:r>
        <w:tab/>
      </w:r>
      <w:r>
        <w:fldChar w:fldCharType="begin"/>
      </w:r>
      <w:r>
        <w:instrText xml:space="preserve"> PAGEREF _Toc4956 \h </w:instrText>
      </w:r>
      <w:r>
        <w:fldChar w:fldCharType="separate"/>
      </w:r>
      <w:r>
        <w:t>33</w:t>
      </w:r>
      <w:r>
        <w:fldChar w:fldCharType="end"/>
      </w:r>
      <w:r>
        <w:rPr>
          <w:rFonts w:eastAsia="仿宋"/>
          <w:color w:val="auto"/>
          <w:kern w:val="0"/>
          <w:szCs w:val="28"/>
        </w:rPr>
        <w:fldChar w:fldCharType="end"/>
      </w:r>
    </w:p>
    <w:p w14:paraId="2C7C9CE3">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_Toc20653 </w:instrText>
      </w:r>
      <w:r>
        <w:rPr>
          <w:rFonts w:eastAsia="仿宋"/>
          <w:kern w:val="0"/>
          <w:szCs w:val="28"/>
        </w:rPr>
        <w:fldChar w:fldCharType="separate"/>
      </w:r>
      <w:r>
        <w:rPr>
          <w:rFonts w:eastAsia="仿宋"/>
          <w:kern w:val="0"/>
          <w:szCs w:val="30"/>
        </w:rPr>
        <w:t>6.5 水土保持监理</w:t>
      </w:r>
      <w:r>
        <w:tab/>
      </w:r>
      <w:r>
        <w:fldChar w:fldCharType="begin"/>
      </w:r>
      <w:r>
        <w:instrText xml:space="preserve"> PAGEREF _Toc20653 \h </w:instrText>
      </w:r>
      <w:r>
        <w:fldChar w:fldCharType="separate"/>
      </w:r>
      <w:r>
        <w:t>33</w:t>
      </w:r>
      <w:r>
        <w:fldChar w:fldCharType="end"/>
      </w:r>
      <w:r>
        <w:rPr>
          <w:rFonts w:eastAsia="仿宋"/>
          <w:color w:val="auto"/>
          <w:kern w:val="0"/>
          <w:szCs w:val="28"/>
        </w:rPr>
        <w:fldChar w:fldCharType="end"/>
      </w:r>
    </w:p>
    <w:p w14:paraId="4086A50C">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_Toc4526 </w:instrText>
      </w:r>
      <w:r>
        <w:rPr>
          <w:rFonts w:eastAsia="仿宋"/>
          <w:kern w:val="0"/>
          <w:szCs w:val="28"/>
        </w:rPr>
        <w:fldChar w:fldCharType="separate"/>
      </w:r>
      <w:r>
        <w:rPr>
          <w:rFonts w:eastAsia="仿宋"/>
          <w:kern w:val="0"/>
          <w:szCs w:val="30"/>
        </w:rPr>
        <w:t>6.6水行政主管部门监督检查意见落实情况</w:t>
      </w:r>
      <w:r>
        <w:tab/>
      </w:r>
      <w:r>
        <w:fldChar w:fldCharType="begin"/>
      </w:r>
      <w:r>
        <w:instrText xml:space="preserve"> PAGEREF _Toc4526 \h </w:instrText>
      </w:r>
      <w:r>
        <w:fldChar w:fldCharType="separate"/>
      </w:r>
      <w:r>
        <w:t>33</w:t>
      </w:r>
      <w:r>
        <w:fldChar w:fldCharType="end"/>
      </w:r>
      <w:r>
        <w:rPr>
          <w:rFonts w:eastAsia="仿宋"/>
          <w:color w:val="auto"/>
          <w:kern w:val="0"/>
          <w:szCs w:val="28"/>
        </w:rPr>
        <w:fldChar w:fldCharType="end"/>
      </w:r>
    </w:p>
    <w:p w14:paraId="3ED16E0F">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_Toc31298 </w:instrText>
      </w:r>
      <w:r>
        <w:rPr>
          <w:rFonts w:eastAsia="仿宋"/>
          <w:kern w:val="0"/>
          <w:szCs w:val="28"/>
        </w:rPr>
        <w:fldChar w:fldCharType="separate"/>
      </w:r>
      <w:r>
        <w:rPr>
          <w:rFonts w:eastAsia="仿宋"/>
          <w:kern w:val="0"/>
          <w:szCs w:val="30"/>
        </w:rPr>
        <w:t>6.7水土保持补偿费缴纳情况</w:t>
      </w:r>
      <w:r>
        <w:tab/>
      </w:r>
      <w:r>
        <w:fldChar w:fldCharType="begin"/>
      </w:r>
      <w:r>
        <w:instrText xml:space="preserve"> PAGEREF _Toc31298 \h </w:instrText>
      </w:r>
      <w:r>
        <w:fldChar w:fldCharType="separate"/>
      </w:r>
      <w:r>
        <w:t>34</w:t>
      </w:r>
      <w:r>
        <w:fldChar w:fldCharType="end"/>
      </w:r>
      <w:r>
        <w:rPr>
          <w:rFonts w:eastAsia="仿宋"/>
          <w:color w:val="auto"/>
          <w:kern w:val="0"/>
          <w:szCs w:val="28"/>
        </w:rPr>
        <w:fldChar w:fldCharType="end"/>
      </w:r>
    </w:p>
    <w:p w14:paraId="5E2AEE2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_Toc14961 </w:instrText>
      </w:r>
      <w:r>
        <w:rPr>
          <w:rFonts w:eastAsia="仿宋"/>
          <w:kern w:val="0"/>
          <w:szCs w:val="28"/>
        </w:rPr>
        <w:fldChar w:fldCharType="separate"/>
      </w:r>
      <w:r>
        <w:rPr>
          <w:rFonts w:eastAsia="仿宋"/>
          <w:kern w:val="0"/>
          <w:szCs w:val="30"/>
        </w:rPr>
        <w:t>6.8水土保持设施管理维护</w:t>
      </w:r>
      <w:r>
        <w:tab/>
      </w:r>
      <w:r>
        <w:fldChar w:fldCharType="begin"/>
      </w:r>
      <w:r>
        <w:instrText xml:space="preserve"> PAGEREF _Toc14961 \h </w:instrText>
      </w:r>
      <w:r>
        <w:fldChar w:fldCharType="separate"/>
      </w:r>
      <w:r>
        <w:t>34</w:t>
      </w:r>
      <w:r>
        <w:fldChar w:fldCharType="end"/>
      </w:r>
      <w:r>
        <w:rPr>
          <w:rFonts w:eastAsia="仿宋"/>
          <w:color w:val="auto"/>
          <w:kern w:val="0"/>
          <w:szCs w:val="28"/>
        </w:rPr>
        <w:fldChar w:fldCharType="end"/>
      </w:r>
    </w:p>
    <w:p w14:paraId="2645657F">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_Toc22038 </w:instrText>
      </w:r>
      <w:r>
        <w:rPr>
          <w:rFonts w:eastAsia="仿宋"/>
          <w:kern w:val="0"/>
          <w:szCs w:val="28"/>
        </w:rPr>
        <w:fldChar w:fldCharType="separate"/>
      </w:r>
      <w:r>
        <w:rPr>
          <w:rFonts w:eastAsia="仿宋"/>
          <w:szCs w:val="22"/>
        </w:rPr>
        <w:t>7 结论及阶段工作安排</w:t>
      </w:r>
      <w:r>
        <w:tab/>
      </w:r>
      <w:r>
        <w:fldChar w:fldCharType="begin"/>
      </w:r>
      <w:r>
        <w:instrText xml:space="preserve"> PAGEREF _Toc22038 \h </w:instrText>
      </w:r>
      <w:r>
        <w:fldChar w:fldCharType="separate"/>
      </w:r>
      <w:r>
        <w:t>35</w:t>
      </w:r>
      <w:r>
        <w:fldChar w:fldCharType="end"/>
      </w:r>
      <w:r>
        <w:rPr>
          <w:rFonts w:eastAsia="仿宋"/>
          <w:color w:val="auto"/>
          <w:kern w:val="0"/>
          <w:szCs w:val="28"/>
        </w:rPr>
        <w:fldChar w:fldCharType="end"/>
      </w:r>
    </w:p>
    <w:p w14:paraId="52DEE4A2">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_Toc20668 </w:instrText>
      </w:r>
      <w:r>
        <w:rPr>
          <w:rFonts w:eastAsia="仿宋"/>
          <w:kern w:val="0"/>
          <w:szCs w:val="28"/>
        </w:rPr>
        <w:fldChar w:fldCharType="separate"/>
      </w:r>
      <w:r>
        <w:rPr>
          <w:rFonts w:eastAsia="仿宋"/>
          <w:kern w:val="0"/>
          <w:szCs w:val="30"/>
        </w:rPr>
        <w:t>7.1结论</w:t>
      </w:r>
      <w:r>
        <w:tab/>
      </w:r>
      <w:r>
        <w:fldChar w:fldCharType="begin"/>
      </w:r>
      <w:r>
        <w:instrText xml:space="preserve"> PAGEREF _Toc20668 \h </w:instrText>
      </w:r>
      <w:r>
        <w:fldChar w:fldCharType="separate"/>
      </w:r>
      <w:r>
        <w:t>35</w:t>
      </w:r>
      <w:r>
        <w:fldChar w:fldCharType="end"/>
      </w:r>
      <w:r>
        <w:rPr>
          <w:rFonts w:eastAsia="仿宋"/>
          <w:color w:val="auto"/>
          <w:kern w:val="0"/>
          <w:szCs w:val="28"/>
        </w:rPr>
        <w:fldChar w:fldCharType="end"/>
      </w:r>
    </w:p>
    <w:p w14:paraId="0A355580">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_Toc4468 </w:instrText>
      </w:r>
      <w:r>
        <w:rPr>
          <w:rFonts w:eastAsia="仿宋"/>
          <w:kern w:val="0"/>
          <w:szCs w:val="28"/>
        </w:rPr>
        <w:fldChar w:fldCharType="separate"/>
      </w:r>
      <w:r>
        <w:rPr>
          <w:rFonts w:eastAsia="仿宋"/>
          <w:kern w:val="0"/>
          <w:szCs w:val="30"/>
        </w:rPr>
        <w:t>7.2遗留问题安排</w:t>
      </w:r>
      <w:r>
        <w:tab/>
      </w:r>
      <w:r>
        <w:fldChar w:fldCharType="begin"/>
      </w:r>
      <w:r>
        <w:instrText xml:space="preserve"> PAGEREF _Toc4468 \h </w:instrText>
      </w:r>
      <w:r>
        <w:fldChar w:fldCharType="separate"/>
      </w:r>
      <w:r>
        <w:t>35</w:t>
      </w:r>
      <w:r>
        <w:fldChar w:fldCharType="end"/>
      </w:r>
      <w:r>
        <w:rPr>
          <w:rFonts w:eastAsia="仿宋"/>
          <w:color w:val="auto"/>
          <w:kern w:val="0"/>
          <w:szCs w:val="28"/>
        </w:rPr>
        <w:fldChar w:fldCharType="end"/>
      </w:r>
    </w:p>
    <w:p w14:paraId="229A4ABC">
      <w:pPr>
        <w:pStyle w:val="12"/>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_Toc12546 </w:instrText>
      </w:r>
      <w:r>
        <w:rPr>
          <w:rFonts w:eastAsia="仿宋"/>
          <w:kern w:val="0"/>
          <w:szCs w:val="28"/>
        </w:rPr>
        <w:fldChar w:fldCharType="separate"/>
      </w:r>
      <w:r>
        <w:rPr>
          <w:rFonts w:hint="eastAsia" w:eastAsia="仿宋"/>
          <w:szCs w:val="22"/>
        </w:rPr>
        <w:t>8 附件及附图</w:t>
      </w:r>
      <w:r>
        <w:tab/>
      </w:r>
      <w:r>
        <w:fldChar w:fldCharType="begin"/>
      </w:r>
      <w:r>
        <w:instrText xml:space="preserve"> PAGEREF _Toc12546 \h </w:instrText>
      </w:r>
      <w:r>
        <w:fldChar w:fldCharType="separate"/>
      </w:r>
      <w:r>
        <w:t>36</w:t>
      </w:r>
      <w:r>
        <w:fldChar w:fldCharType="end"/>
      </w:r>
      <w:r>
        <w:rPr>
          <w:rFonts w:eastAsia="仿宋"/>
          <w:color w:val="auto"/>
          <w:kern w:val="0"/>
          <w:szCs w:val="28"/>
        </w:rPr>
        <w:fldChar w:fldCharType="end"/>
      </w:r>
    </w:p>
    <w:p w14:paraId="3AE82861">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_Toc4651 </w:instrText>
      </w:r>
      <w:r>
        <w:rPr>
          <w:rFonts w:eastAsia="仿宋"/>
          <w:kern w:val="0"/>
          <w:szCs w:val="28"/>
        </w:rPr>
        <w:fldChar w:fldCharType="separate"/>
      </w:r>
      <w:r>
        <w:rPr>
          <w:rFonts w:hint="eastAsia" w:eastAsia="仿宋"/>
          <w:kern w:val="0"/>
          <w:szCs w:val="30"/>
        </w:rPr>
        <w:t>8.1 附件</w:t>
      </w:r>
      <w:r>
        <w:tab/>
      </w:r>
      <w:r>
        <w:fldChar w:fldCharType="begin"/>
      </w:r>
      <w:r>
        <w:instrText xml:space="preserve"> PAGEREF _Toc4651 \h </w:instrText>
      </w:r>
      <w:r>
        <w:fldChar w:fldCharType="separate"/>
      </w:r>
      <w:r>
        <w:t>36</w:t>
      </w:r>
      <w:r>
        <w:fldChar w:fldCharType="end"/>
      </w:r>
      <w:r>
        <w:rPr>
          <w:rFonts w:eastAsia="仿宋"/>
          <w:color w:val="auto"/>
          <w:kern w:val="0"/>
          <w:szCs w:val="28"/>
        </w:rPr>
        <w:fldChar w:fldCharType="end"/>
      </w:r>
    </w:p>
    <w:p w14:paraId="6D540137">
      <w:pPr>
        <w:pStyle w:val="13"/>
        <w:keepNext w:val="0"/>
        <w:keepLines w:val="0"/>
        <w:pageBreakBefore w:val="0"/>
        <w:widowControl w:val="0"/>
        <w:tabs>
          <w:tab w:val="right" w:leader="dot" w:pos="8732"/>
        </w:tabs>
        <w:kinsoku/>
        <w:wordWrap/>
        <w:overflowPunct/>
        <w:topLinePunct w:val="0"/>
        <w:autoSpaceDE/>
        <w:autoSpaceDN/>
        <w:bidi w:val="0"/>
        <w:adjustRightInd/>
        <w:snapToGrid/>
        <w:ind w:firstLine="0" w:firstLineChars="0"/>
        <w:textAlignment w:val="auto"/>
      </w:pPr>
      <w:r>
        <w:rPr>
          <w:rFonts w:eastAsia="仿宋"/>
          <w:color w:val="auto"/>
          <w:kern w:val="0"/>
          <w:szCs w:val="28"/>
        </w:rPr>
        <w:fldChar w:fldCharType="begin"/>
      </w:r>
      <w:r>
        <w:rPr>
          <w:rFonts w:eastAsia="仿宋"/>
          <w:kern w:val="0"/>
          <w:szCs w:val="28"/>
        </w:rPr>
        <w:instrText xml:space="preserve"> HYPERLINK \l _Toc16488 </w:instrText>
      </w:r>
      <w:r>
        <w:rPr>
          <w:rFonts w:eastAsia="仿宋"/>
          <w:kern w:val="0"/>
          <w:szCs w:val="28"/>
        </w:rPr>
        <w:fldChar w:fldCharType="separate"/>
      </w:r>
      <w:r>
        <w:rPr>
          <w:rFonts w:hint="eastAsia" w:eastAsia="仿宋"/>
          <w:kern w:val="0"/>
          <w:szCs w:val="30"/>
        </w:rPr>
        <w:t>8.2 附图</w:t>
      </w:r>
      <w:r>
        <w:tab/>
      </w:r>
      <w:r>
        <w:fldChar w:fldCharType="begin"/>
      </w:r>
      <w:r>
        <w:instrText xml:space="preserve"> PAGEREF _Toc16488 \h </w:instrText>
      </w:r>
      <w:r>
        <w:fldChar w:fldCharType="separate"/>
      </w:r>
      <w:r>
        <w:t>36</w:t>
      </w:r>
      <w:r>
        <w:fldChar w:fldCharType="end"/>
      </w:r>
      <w:r>
        <w:rPr>
          <w:rFonts w:eastAsia="仿宋"/>
          <w:color w:val="auto"/>
          <w:kern w:val="0"/>
          <w:szCs w:val="28"/>
        </w:rPr>
        <w:fldChar w:fldCharType="end"/>
      </w:r>
    </w:p>
    <w:p w14:paraId="2EDF1741">
      <w:pPr>
        <w:pStyle w:val="2"/>
        <w:widowControl/>
        <w:tabs>
          <w:tab w:val="right" w:leader="dot" w:pos="8561"/>
        </w:tabs>
        <w:adjustRightInd w:val="0"/>
        <w:snapToGrid w:val="0"/>
        <w:spacing w:line="480" w:lineRule="auto"/>
        <w:ind w:firstLine="562"/>
        <w:rPr>
          <w:rFonts w:eastAsia="仿宋"/>
          <w:color w:val="auto"/>
          <w:kern w:val="0"/>
          <w:sz w:val="28"/>
          <w:szCs w:val="28"/>
        </w:rPr>
        <w:sectPr>
          <w:headerReference r:id="rId5" w:type="default"/>
          <w:footerReference r:id="rId7" w:type="default"/>
          <w:headerReference r:id="rId6" w:type="even"/>
          <w:footerReference r:id="rId8" w:type="even"/>
          <w:pgSz w:w="11849" w:h="16781"/>
          <w:pgMar w:top="1417" w:right="1417" w:bottom="1417" w:left="1417" w:header="567" w:footer="964" w:gutter="283"/>
          <w:pgBorders>
            <w:top w:val="none" w:sz="0" w:space="0"/>
            <w:left w:val="none" w:sz="0" w:space="0"/>
            <w:bottom w:val="single" w:color="auto" w:sz="4" w:space="1"/>
            <w:right w:val="none" w:sz="0" w:space="0"/>
          </w:pgBorders>
          <w:pgNumType w:fmt="upperRoman" w:start="1"/>
          <w:cols w:space="0" w:num="1"/>
          <w:docGrid w:type="lines" w:linePitch="398" w:charSpace="0"/>
        </w:sectPr>
      </w:pPr>
      <w:r>
        <w:rPr>
          <w:rFonts w:eastAsia="仿宋"/>
          <w:color w:val="auto"/>
          <w:kern w:val="0"/>
          <w:sz w:val="28"/>
          <w:szCs w:val="28"/>
        </w:rPr>
        <w:fldChar w:fldCharType="end"/>
      </w:r>
      <w:bookmarkStart w:id="6" w:name="_Toc12568"/>
    </w:p>
    <w:p w14:paraId="10747B6C">
      <w:pPr>
        <w:pStyle w:val="2"/>
        <w:widowControl/>
        <w:tabs>
          <w:tab w:val="right" w:leader="dot" w:pos="8561"/>
        </w:tabs>
        <w:adjustRightInd w:val="0"/>
        <w:snapToGrid w:val="0"/>
        <w:spacing w:line="480" w:lineRule="auto"/>
        <w:ind w:firstLine="562"/>
        <w:rPr>
          <w:rFonts w:eastAsia="仿宋"/>
          <w:color w:val="auto"/>
          <w:szCs w:val="22"/>
        </w:rPr>
      </w:pPr>
      <w:r>
        <w:rPr>
          <w:rFonts w:eastAsia="仿宋"/>
          <w:color w:val="auto"/>
          <w:szCs w:val="22"/>
        </w:rPr>
        <w:t>前言</w:t>
      </w:r>
      <w:bookmarkEnd w:id="6"/>
    </w:p>
    <w:bookmarkEnd w:id="1"/>
    <w:p w14:paraId="330D08D4">
      <w:pPr>
        <w:spacing w:line="360" w:lineRule="auto"/>
        <w:rPr>
          <w:rFonts w:hint="default" w:ascii="Times New Roman" w:hAnsi="Times New Roman" w:eastAsia="仿宋" w:cs="Times New Roman"/>
          <w:color w:val="auto"/>
          <w:sz w:val="28"/>
          <w:szCs w:val="28"/>
        </w:rPr>
      </w:pPr>
      <w:bookmarkStart w:id="7" w:name="_Toc4621"/>
      <w:r>
        <w:rPr>
          <w:rFonts w:hint="default" w:ascii="Times New Roman" w:hAnsi="Times New Roman" w:eastAsia="仿宋" w:cs="Times New Roman"/>
          <w:color w:val="auto"/>
          <w:sz w:val="28"/>
          <w:szCs w:val="28"/>
        </w:rPr>
        <w:t>由</w:t>
      </w:r>
      <w:r>
        <w:rPr>
          <w:rFonts w:hint="eastAsia" w:eastAsia="仿宋" w:cs="Times New Roman"/>
          <w:color w:val="auto"/>
          <w:sz w:val="28"/>
          <w:szCs w:val="28"/>
          <w:lang w:eastAsia="zh-CN"/>
        </w:rPr>
        <w:t>福建省福州延安中学</w:t>
      </w:r>
      <w:r>
        <w:rPr>
          <w:rFonts w:hint="default" w:ascii="Times New Roman" w:hAnsi="Times New Roman" w:eastAsia="仿宋" w:cs="Times New Roman"/>
          <w:color w:val="auto"/>
          <w:sz w:val="28"/>
          <w:szCs w:val="28"/>
        </w:rPr>
        <w:t>负责建设的</w:t>
      </w:r>
      <w:r>
        <w:rPr>
          <w:rFonts w:hint="eastAsia" w:eastAsia="仿宋" w:cs="Times New Roman"/>
          <w:color w:val="auto"/>
          <w:sz w:val="28"/>
          <w:szCs w:val="28"/>
          <w:lang w:eastAsia="zh-CN"/>
        </w:rPr>
        <w:t>福州市延安中学教育集团国福校区，</w:t>
      </w:r>
      <w:r>
        <w:rPr>
          <w:rFonts w:hint="eastAsia" w:eastAsia="仿宋" w:cs="Times New Roman"/>
          <w:color w:val="auto"/>
          <w:sz w:val="28"/>
          <w:szCs w:val="28"/>
          <w:lang w:val="en-US" w:eastAsia="zh-CN"/>
        </w:rPr>
        <w:t>代建单位为榕建德育（福州）建设投资有限公司，</w:t>
      </w:r>
      <w:r>
        <w:rPr>
          <w:rFonts w:hint="default" w:ascii="Times New Roman" w:hAnsi="Times New Roman" w:eastAsia="仿宋" w:cs="Times New Roman"/>
          <w:color w:val="auto"/>
          <w:sz w:val="28"/>
          <w:szCs w:val="28"/>
        </w:rPr>
        <w:t>位于</w:t>
      </w:r>
      <w:r>
        <w:rPr>
          <w:rFonts w:hint="eastAsia" w:eastAsia="仿宋" w:cs="Times New Roman"/>
          <w:b w:val="0"/>
          <w:bCs w:val="0"/>
          <w:color w:val="auto"/>
          <w:sz w:val="28"/>
          <w:szCs w:val="28"/>
          <w:lang w:eastAsia="zh-CN"/>
        </w:rPr>
        <w:t>鼓楼区五凤街道，场地位于福飞路西侧，江厝路南侧，二环路北侧，天泉路东侧。</w:t>
      </w:r>
      <w:r>
        <w:rPr>
          <w:rFonts w:hint="default" w:ascii="Times New Roman" w:hAnsi="Times New Roman" w:eastAsia="仿宋" w:cs="Times New Roman"/>
          <w:color w:val="auto"/>
          <w:sz w:val="28"/>
          <w:szCs w:val="28"/>
        </w:rPr>
        <w:t>项目</w:t>
      </w:r>
      <w:r>
        <w:rPr>
          <w:rFonts w:hint="default" w:ascii="Times New Roman" w:hAnsi="Times New Roman" w:eastAsia="仿宋" w:cs="Times New Roman"/>
          <w:b w:val="0"/>
          <w:bCs w:val="0"/>
          <w:color w:val="auto"/>
          <w:sz w:val="28"/>
          <w:szCs w:val="28"/>
        </w:rPr>
        <w:t>中心坐标</w:t>
      </w:r>
      <w:r>
        <w:rPr>
          <w:rFonts w:hint="default" w:ascii="Times New Roman" w:hAnsi="Times New Roman" w:eastAsia="仿宋" w:cs="Times New Roman"/>
          <w:b w:val="0"/>
          <w:bCs w:val="0"/>
          <w:color w:val="auto"/>
          <w:sz w:val="28"/>
          <w:szCs w:val="28"/>
          <w:lang w:eastAsia="zh-CN"/>
        </w:rPr>
        <w:t>：</w:t>
      </w:r>
      <w:r>
        <w:rPr>
          <w:rFonts w:hint="default" w:ascii="Times New Roman" w:hAnsi="Times New Roman" w:eastAsia="仿宋" w:cs="Times New Roman"/>
          <w:color w:val="auto"/>
          <w:sz w:val="28"/>
          <w:szCs w:val="28"/>
          <w:highlight w:val="none"/>
        </w:rPr>
        <w:t>东经119</w:t>
      </w:r>
      <w:r>
        <w:rPr>
          <w:rFonts w:eastAsia="仿宋_GB2312"/>
          <w:bCs/>
          <w:color w:val="auto"/>
          <w:sz w:val="28"/>
          <w:szCs w:val="28"/>
        </w:rPr>
        <w:t>°</w:t>
      </w:r>
      <w:r>
        <w:rPr>
          <w:rFonts w:hint="default" w:ascii="Times New Roman" w:hAnsi="Times New Roman" w:eastAsia="仿宋" w:cs="Times New Roman"/>
          <w:color w:val="auto"/>
          <w:sz w:val="28"/>
          <w:szCs w:val="28"/>
          <w:highlight w:val="none"/>
        </w:rPr>
        <w:t>29</w:t>
      </w:r>
      <w:r>
        <w:rPr>
          <w:rFonts w:eastAsia="仿宋_GB2312"/>
          <w:bCs/>
          <w:color w:val="auto"/>
          <w:sz w:val="28"/>
          <w:szCs w:val="28"/>
        </w:rPr>
        <w:t>’</w:t>
      </w:r>
      <w:r>
        <w:rPr>
          <w:rFonts w:hint="default" w:ascii="Times New Roman" w:hAnsi="Times New Roman" w:eastAsia="仿宋" w:cs="Times New Roman"/>
          <w:color w:val="auto"/>
          <w:sz w:val="28"/>
          <w:szCs w:val="28"/>
          <w:highlight w:val="none"/>
        </w:rPr>
        <w:t>30</w:t>
      </w:r>
      <w:r>
        <w:rPr>
          <w:rFonts w:hint="eastAsia" w:ascii="Times New Roman" w:hAnsi="Times New Roman" w:eastAsia="仿宋" w:cs="Times New Roman"/>
          <w:color w:val="auto"/>
          <w:sz w:val="28"/>
          <w:szCs w:val="28"/>
          <w:highlight w:val="none"/>
          <w:lang w:val="en-US" w:eastAsia="zh-CN"/>
        </w:rPr>
        <w:t>.</w:t>
      </w:r>
      <w:r>
        <w:rPr>
          <w:rFonts w:hint="default" w:ascii="Times New Roman" w:hAnsi="Times New Roman" w:eastAsia="仿宋" w:cs="Times New Roman"/>
          <w:color w:val="auto"/>
          <w:sz w:val="28"/>
          <w:szCs w:val="28"/>
          <w:highlight w:val="none"/>
        </w:rPr>
        <w:t>2194</w:t>
      </w:r>
      <w:r>
        <w:rPr>
          <w:rFonts w:eastAsia="仿宋_GB2312"/>
          <w:bCs/>
          <w:color w:val="auto"/>
          <w:sz w:val="28"/>
          <w:szCs w:val="28"/>
        </w:rPr>
        <w:t>”</w:t>
      </w:r>
      <w:r>
        <w:rPr>
          <w:rFonts w:hint="eastAsia"/>
          <w:bCs/>
          <w:color w:val="auto"/>
          <w:sz w:val="28"/>
          <w:szCs w:val="28"/>
          <w:lang w:eastAsia="zh-CN"/>
        </w:rPr>
        <w:t>，</w:t>
      </w:r>
      <w:r>
        <w:rPr>
          <w:rFonts w:eastAsia="仿宋_GB2312"/>
          <w:bCs/>
          <w:color w:val="auto"/>
          <w:sz w:val="28"/>
          <w:szCs w:val="28"/>
        </w:rPr>
        <w:t>北纬：</w:t>
      </w:r>
      <w:r>
        <w:rPr>
          <w:rFonts w:hint="default" w:ascii="Times New Roman" w:hAnsi="Times New Roman" w:eastAsia="仿宋" w:cs="Times New Roman"/>
          <w:color w:val="auto"/>
          <w:sz w:val="28"/>
          <w:szCs w:val="28"/>
          <w:highlight w:val="none"/>
        </w:rPr>
        <w:t>26</w:t>
      </w:r>
      <w:r>
        <w:rPr>
          <w:rFonts w:eastAsia="仿宋_GB2312"/>
          <w:bCs/>
          <w:color w:val="auto"/>
          <w:sz w:val="28"/>
          <w:szCs w:val="28"/>
        </w:rPr>
        <w:t>°</w:t>
      </w:r>
      <w:r>
        <w:rPr>
          <w:rFonts w:hint="default" w:ascii="Times New Roman" w:hAnsi="Times New Roman" w:eastAsia="仿宋" w:cs="Times New Roman"/>
          <w:color w:val="auto"/>
          <w:sz w:val="28"/>
          <w:szCs w:val="28"/>
          <w:highlight w:val="none"/>
        </w:rPr>
        <w:t>11</w:t>
      </w:r>
      <w:r>
        <w:rPr>
          <w:rFonts w:eastAsia="仿宋_GB2312"/>
          <w:bCs/>
          <w:color w:val="auto"/>
          <w:sz w:val="28"/>
          <w:szCs w:val="28"/>
        </w:rPr>
        <w:t>’</w:t>
      </w:r>
      <w:r>
        <w:rPr>
          <w:rFonts w:hint="default" w:ascii="Times New Roman" w:hAnsi="Times New Roman" w:eastAsia="仿宋" w:cs="Times New Roman"/>
          <w:color w:val="auto"/>
          <w:sz w:val="28"/>
          <w:szCs w:val="28"/>
          <w:highlight w:val="none"/>
        </w:rPr>
        <w:t>20</w:t>
      </w:r>
      <w:r>
        <w:rPr>
          <w:rFonts w:hint="eastAsia" w:ascii="Times New Roman" w:hAnsi="Times New Roman" w:eastAsia="仿宋" w:cs="Times New Roman"/>
          <w:color w:val="auto"/>
          <w:sz w:val="28"/>
          <w:szCs w:val="28"/>
          <w:highlight w:val="none"/>
          <w:lang w:val="en-US" w:eastAsia="zh-CN"/>
        </w:rPr>
        <w:t>.</w:t>
      </w:r>
      <w:r>
        <w:rPr>
          <w:rFonts w:hint="default" w:ascii="Times New Roman" w:hAnsi="Times New Roman" w:eastAsia="仿宋" w:cs="Times New Roman"/>
          <w:color w:val="auto"/>
          <w:sz w:val="28"/>
          <w:szCs w:val="28"/>
          <w:highlight w:val="none"/>
        </w:rPr>
        <w:t>9385</w:t>
      </w:r>
      <w:r>
        <w:rPr>
          <w:rFonts w:eastAsia="仿宋_GB2312"/>
          <w:bCs/>
          <w:color w:val="auto"/>
          <w:sz w:val="28"/>
          <w:szCs w:val="28"/>
        </w:rPr>
        <w:t>”</w:t>
      </w:r>
      <w:r>
        <w:rPr>
          <w:rFonts w:hint="default" w:ascii="Times New Roman" w:hAnsi="Times New Roman" w:eastAsia="仿宋" w:cs="Times New Roman"/>
          <w:color w:val="auto"/>
          <w:sz w:val="28"/>
          <w:szCs w:val="28"/>
          <w:highlight w:val="none"/>
        </w:rPr>
        <w:t>。</w:t>
      </w:r>
    </w:p>
    <w:p w14:paraId="7D2CE323">
      <w:pPr>
        <w:ind w:firstLine="560"/>
        <w:rPr>
          <w:rFonts w:hint="eastAsia" w:eastAsia="仿宋_GB2312"/>
          <w:color w:val="auto"/>
          <w:lang w:eastAsia="zh-CN"/>
        </w:rPr>
      </w:pPr>
      <w:r>
        <w:rPr>
          <w:rFonts w:hint="eastAsia" w:ascii="Times New Roman" w:hAnsi="Times New Roman" w:eastAsia="仿宋" w:cs="Times New Roman"/>
          <w:color w:val="auto"/>
          <w:sz w:val="28"/>
          <w:szCs w:val="28"/>
          <w:lang w:eastAsia="zh-CN"/>
        </w:rPr>
        <w:t>福州市延安中学教育集团国福校区（</w:t>
      </w:r>
      <w:r>
        <w:rPr>
          <w:rFonts w:hint="default" w:ascii="Times New Roman" w:hAnsi="Times New Roman" w:eastAsia="仿宋" w:cs="Times New Roman"/>
          <w:b w:val="0"/>
          <w:bCs w:val="0"/>
          <w:sz w:val="28"/>
          <w:szCs w:val="28"/>
          <w:highlight w:val="none"/>
          <w:lang w:val="en-US" w:eastAsia="zh-CN"/>
        </w:rPr>
        <w:t>以下简称“本项目”</w:t>
      </w:r>
      <w:r>
        <w:rPr>
          <w:rFonts w:hint="eastAsia" w:ascii="Times New Roman" w:hAnsi="Times New Roman" w:eastAsia="仿宋" w:cs="Times New Roman"/>
          <w:color w:val="auto"/>
          <w:sz w:val="28"/>
          <w:szCs w:val="28"/>
          <w:lang w:eastAsia="zh-CN"/>
        </w:rPr>
        <w:t>）</w:t>
      </w:r>
      <w:r>
        <w:rPr>
          <w:rFonts w:hint="eastAsia"/>
          <w:color w:val="auto"/>
        </w:rPr>
        <w:t>总征占地面积</w:t>
      </w:r>
      <w:r>
        <w:rPr>
          <w:rFonts w:hint="eastAsia"/>
          <w:color w:val="auto"/>
          <w:lang w:val="en-US" w:eastAsia="zh-CN"/>
        </w:rPr>
        <w:t>2.90h</w:t>
      </w:r>
      <w:r>
        <w:rPr>
          <w:rFonts w:hint="eastAsia"/>
          <w:color w:val="auto"/>
          <w:lang w:eastAsia="zh-CN"/>
        </w:rPr>
        <w:t>m</w:t>
      </w:r>
      <w:r>
        <w:rPr>
          <w:rFonts w:hint="eastAsia"/>
          <w:color w:val="auto"/>
          <w:vertAlign w:val="superscript"/>
          <w:lang w:eastAsia="zh-CN"/>
        </w:rPr>
        <w:t>2</w:t>
      </w:r>
      <w:r>
        <w:rPr>
          <w:rFonts w:hint="eastAsia"/>
          <w:color w:val="auto"/>
        </w:rPr>
        <w:t>，</w:t>
      </w:r>
      <w:r>
        <w:rPr>
          <w:rFonts w:hint="eastAsia"/>
          <w:color w:val="auto"/>
          <w:lang w:eastAsia="zh-CN"/>
        </w:rPr>
        <w:t>其中永久占地</w:t>
      </w:r>
      <w:r>
        <w:rPr>
          <w:rFonts w:hint="eastAsia"/>
          <w:color w:val="auto"/>
          <w:lang w:val="en-US" w:eastAsia="zh-CN"/>
        </w:rPr>
        <w:t>面积2.65h</w:t>
      </w:r>
      <w:r>
        <w:rPr>
          <w:rFonts w:hint="eastAsia"/>
          <w:color w:val="auto"/>
          <w:lang w:eastAsia="zh-CN"/>
        </w:rPr>
        <w:t>m</w:t>
      </w:r>
      <w:r>
        <w:rPr>
          <w:rFonts w:hint="eastAsia"/>
          <w:color w:val="auto"/>
          <w:vertAlign w:val="superscript"/>
          <w:lang w:eastAsia="zh-CN"/>
        </w:rPr>
        <w:t>2</w:t>
      </w:r>
      <w:r>
        <w:rPr>
          <w:rFonts w:hint="eastAsia"/>
          <w:color w:val="auto"/>
          <w:lang w:eastAsia="zh-CN"/>
        </w:rPr>
        <w:t>，临时占地</w:t>
      </w:r>
      <w:r>
        <w:rPr>
          <w:rFonts w:hint="eastAsia"/>
          <w:color w:val="auto"/>
          <w:lang w:val="en-US" w:eastAsia="zh-CN"/>
        </w:rPr>
        <w:t>0.70h</w:t>
      </w:r>
      <w:r>
        <w:rPr>
          <w:rFonts w:hint="eastAsia"/>
          <w:color w:val="auto"/>
          <w:lang w:eastAsia="zh-CN"/>
        </w:rPr>
        <w:t>m</w:t>
      </w:r>
      <w:r>
        <w:rPr>
          <w:rFonts w:hint="eastAsia"/>
          <w:color w:val="auto"/>
          <w:vertAlign w:val="superscript"/>
          <w:lang w:eastAsia="zh-CN"/>
        </w:rPr>
        <w:t>2</w:t>
      </w:r>
      <w:r>
        <w:rPr>
          <w:rFonts w:hint="eastAsia"/>
          <w:color w:val="auto"/>
          <w:lang w:eastAsia="zh-CN"/>
        </w:rPr>
        <w:t>（其中</w:t>
      </w:r>
      <w:r>
        <w:rPr>
          <w:rFonts w:hint="eastAsia"/>
          <w:color w:val="auto"/>
          <w:lang w:val="en-US" w:eastAsia="zh-CN"/>
        </w:rPr>
        <w:t>0.45h</w:t>
      </w:r>
      <w:r>
        <w:rPr>
          <w:rFonts w:hint="eastAsia"/>
          <w:color w:val="auto"/>
          <w:lang w:eastAsia="zh-CN"/>
        </w:rPr>
        <w:t>m</w:t>
      </w:r>
      <w:r>
        <w:rPr>
          <w:rFonts w:hint="eastAsia"/>
          <w:color w:val="auto"/>
          <w:vertAlign w:val="superscript"/>
          <w:lang w:eastAsia="zh-CN"/>
        </w:rPr>
        <w:t>2</w:t>
      </w:r>
      <w:r>
        <w:rPr>
          <w:rFonts w:hint="eastAsia"/>
          <w:color w:val="auto"/>
          <w:lang w:eastAsia="zh-CN"/>
        </w:rPr>
        <w:t>临时占地布设于征地红线内，</w:t>
      </w:r>
      <w:r>
        <w:rPr>
          <w:rFonts w:hint="eastAsia"/>
          <w:color w:val="auto"/>
          <w:lang w:val="en-US" w:eastAsia="zh-CN"/>
        </w:rPr>
        <w:t>0.25h</w:t>
      </w:r>
      <w:r>
        <w:rPr>
          <w:rFonts w:hint="eastAsia"/>
          <w:color w:val="auto"/>
          <w:lang w:eastAsia="zh-CN"/>
        </w:rPr>
        <w:t>m</w:t>
      </w:r>
      <w:r>
        <w:rPr>
          <w:rFonts w:hint="eastAsia"/>
          <w:color w:val="auto"/>
          <w:vertAlign w:val="superscript"/>
          <w:lang w:eastAsia="zh-CN"/>
        </w:rPr>
        <w:t>2</w:t>
      </w:r>
      <w:r>
        <w:rPr>
          <w:rFonts w:hint="eastAsia"/>
          <w:color w:val="auto"/>
          <w:lang w:eastAsia="zh-CN"/>
        </w:rPr>
        <w:t>临时占地布设于征地红线外）。项目占用土地类型为教育用地和交通运输用地。</w:t>
      </w:r>
    </w:p>
    <w:bookmarkEnd w:id="7"/>
    <w:p w14:paraId="06B02695">
      <w:pPr>
        <w:ind w:firstLine="560"/>
        <w:rPr>
          <w:color w:val="auto"/>
        </w:rPr>
      </w:pPr>
      <w:r>
        <w:rPr>
          <w:rFonts w:hint="eastAsia"/>
          <w:color w:val="auto"/>
          <w:lang w:eastAsia="zh-CN"/>
        </w:rPr>
        <w:t>2023年10月24日，福建省福州延安中学取得福州市水利局《关于福州市延安中学教育集团国福校区水土保持方案报告书的批复》（榕水利批〔2023〕86号）。</w:t>
      </w:r>
    </w:p>
    <w:p w14:paraId="1610FA8D">
      <w:pPr>
        <w:ind w:firstLine="560"/>
        <w:rPr>
          <w:color w:val="auto"/>
        </w:rPr>
      </w:pPr>
      <w:r>
        <w:rPr>
          <w:rFonts w:hint="eastAsia"/>
          <w:color w:val="auto"/>
          <w:lang w:eastAsia="zh-CN"/>
        </w:rPr>
        <w:t>福州市延安中学教育集团国福校区</w:t>
      </w:r>
      <w:r>
        <w:rPr>
          <w:rFonts w:hint="eastAsia"/>
          <w:color w:val="auto"/>
        </w:rPr>
        <w:t>原</w:t>
      </w:r>
      <w:r>
        <w:rPr>
          <w:color w:val="auto"/>
        </w:rPr>
        <w:t>计划开工时间为</w:t>
      </w: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color w:val="auto"/>
        </w:rPr>
        <w:t>计划完工时间为</w:t>
      </w:r>
      <w:r>
        <w:rPr>
          <w:rFonts w:hint="eastAsia"/>
          <w:color w:val="auto"/>
        </w:rPr>
        <w:t>20</w:t>
      </w:r>
      <w:r>
        <w:rPr>
          <w:rFonts w:hint="eastAsia"/>
          <w:color w:val="auto"/>
          <w:lang w:val="en-US" w:eastAsia="zh-CN"/>
        </w:rPr>
        <w:t>26</w:t>
      </w:r>
      <w:r>
        <w:rPr>
          <w:rFonts w:hint="eastAsia"/>
          <w:color w:val="auto"/>
        </w:rPr>
        <w:t>年</w:t>
      </w:r>
      <w:r>
        <w:rPr>
          <w:rFonts w:hint="eastAsia"/>
          <w:color w:val="auto"/>
          <w:lang w:val="en-US" w:eastAsia="zh-CN"/>
        </w:rPr>
        <w:t>5</w:t>
      </w:r>
      <w:r>
        <w:rPr>
          <w:rFonts w:hint="eastAsia"/>
          <w:color w:val="auto"/>
        </w:rPr>
        <w:t>月</w:t>
      </w:r>
      <w:r>
        <w:rPr>
          <w:color w:val="auto"/>
        </w:rPr>
        <w:t>，实际开工时间为</w:t>
      </w:r>
      <w:r>
        <w:rPr>
          <w:rFonts w:hint="eastAsia"/>
          <w:color w:val="auto"/>
          <w:lang w:eastAsia="zh-CN"/>
        </w:rPr>
        <w:t>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7</w:t>
      </w:r>
      <w:r>
        <w:rPr>
          <w:rFonts w:hint="eastAsia"/>
          <w:color w:val="auto"/>
          <w:lang w:eastAsia="zh-CN"/>
        </w:rPr>
        <w:t>日</w:t>
      </w:r>
      <w:r>
        <w:rPr>
          <w:color w:val="auto"/>
        </w:rPr>
        <w:t>，实际完工时间为</w:t>
      </w:r>
      <w:r>
        <w:rPr>
          <w:rFonts w:hint="eastAsia"/>
          <w:color w:val="auto"/>
          <w:lang w:eastAsia="zh-CN"/>
        </w:rPr>
        <w:t>202</w:t>
      </w:r>
      <w:r>
        <w:rPr>
          <w:rFonts w:hint="eastAsia"/>
          <w:color w:val="auto"/>
          <w:lang w:val="en-US" w:eastAsia="zh-CN"/>
        </w:rPr>
        <w:t>5</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30</w:t>
      </w:r>
      <w:r>
        <w:rPr>
          <w:rFonts w:hint="eastAsia"/>
          <w:color w:val="auto"/>
          <w:lang w:eastAsia="zh-CN"/>
        </w:rPr>
        <w:t>日</w:t>
      </w:r>
      <w:r>
        <w:rPr>
          <w:color w:val="auto"/>
        </w:rPr>
        <w:t>，实际总工期</w:t>
      </w:r>
      <w:r>
        <w:rPr>
          <w:rFonts w:hint="eastAsia"/>
          <w:color w:val="auto"/>
        </w:rPr>
        <w:t>为</w:t>
      </w:r>
      <w:r>
        <w:rPr>
          <w:rFonts w:hint="eastAsia"/>
          <w:color w:val="auto"/>
          <w:lang w:val="en-US" w:eastAsia="zh-CN"/>
        </w:rPr>
        <w:t>25个月</w:t>
      </w:r>
      <w:r>
        <w:rPr>
          <w:color w:val="auto"/>
        </w:rPr>
        <w:t>。</w:t>
      </w:r>
    </w:p>
    <w:p w14:paraId="6EA8CF02">
      <w:pPr>
        <w:ind w:firstLine="560"/>
        <w:rPr>
          <w:color w:val="auto"/>
        </w:rPr>
      </w:pPr>
      <w:r>
        <w:rPr>
          <w:color w:val="auto"/>
        </w:rPr>
        <w:t>项目</w:t>
      </w:r>
      <w:r>
        <w:rPr>
          <w:rFonts w:hint="eastAsia"/>
          <w:color w:val="auto"/>
        </w:rPr>
        <w:t>实际</w:t>
      </w:r>
      <w:r>
        <w:rPr>
          <w:color w:val="auto"/>
        </w:rPr>
        <w:t>总投资</w:t>
      </w:r>
      <w:r>
        <w:rPr>
          <w:rFonts w:hint="eastAsia"/>
          <w:color w:val="auto"/>
          <w:lang w:val="en-US" w:eastAsia="zh-CN"/>
        </w:rPr>
        <w:t>43113.60万元（未决算），其中土建投资28746.02万元（未决算），资金来源由PPP模式统筹解决。</w:t>
      </w:r>
    </w:p>
    <w:p w14:paraId="6ED0CBF4">
      <w:pPr>
        <w:ind w:firstLine="560"/>
        <w:rPr>
          <w:rFonts w:hint="eastAsia"/>
          <w:color w:val="auto"/>
          <w:lang w:eastAsia="zh-CN"/>
        </w:rPr>
      </w:pPr>
      <w:r>
        <w:rPr>
          <w:rFonts w:hint="eastAsia"/>
          <w:color w:val="auto"/>
          <w:lang w:eastAsia="zh-CN"/>
        </w:rPr>
        <w:t>建设单位在工程建设过程中，依据批复的水土保持方案，结合施工过程中实际情况，在主体工程区、施工生产生活区、</w:t>
      </w:r>
      <w:r>
        <w:rPr>
          <w:rFonts w:hint="eastAsia"/>
          <w:color w:val="auto"/>
          <w:lang w:val="en-US" w:eastAsia="zh-CN"/>
        </w:rPr>
        <w:t>施工便道及</w:t>
      </w:r>
      <w:r>
        <w:rPr>
          <w:rFonts w:hint="eastAsia"/>
          <w:color w:val="auto"/>
          <w:lang w:eastAsia="zh-CN"/>
        </w:rPr>
        <w:t>土方临时堆场等防治责任范围内相继实施完成水土保持措施。</w:t>
      </w:r>
    </w:p>
    <w:p w14:paraId="3B78F74F">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根据《开发建设项目水土保持设施验收管理办法》（水利部令第24号修改）</w:t>
      </w:r>
      <w:r>
        <w:rPr>
          <w:rFonts w:hint="eastAsia" w:cs="Times New Roman"/>
          <w:color w:val="auto"/>
          <w:lang w:eastAsia="zh-CN"/>
        </w:rPr>
        <w:t>、</w:t>
      </w:r>
      <w:r>
        <w:rPr>
          <w:rFonts w:hint="eastAsia" w:ascii="Times New Roman" w:hAnsi="Times New Roman" w:cs="Times New Roman"/>
          <w:color w:val="auto"/>
          <w:lang w:eastAsia="zh-CN"/>
        </w:rPr>
        <w:t>《开发建设项目水土保持设施验收技术规程》（GB/T22490-2008）、水利部办公厅关于印发《生产建设项目水土保持设施自主验收规程（试行）》的通知（办水保</w:t>
      </w:r>
      <w:r>
        <w:rPr>
          <w:rFonts w:hint="eastAsia" w:cs="Times New Roman"/>
          <w:color w:val="auto"/>
          <w:lang w:eastAsia="zh-CN"/>
        </w:rPr>
        <w:t>〔2018〕133号</w:t>
      </w:r>
      <w:r>
        <w:rPr>
          <w:rFonts w:hint="eastAsia" w:ascii="Times New Roman" w:hAnsi="Times New Roman" w:cs="Times New Roman"/>
          <w:color w:val="auto"/>
          <w:lang w:eastAsia="zh-CN"/>
        </w:rPr>
        <w:t>）和水利部办公厅关于印发《生产建设项目水土保持技术文件编写和印制格式规定（试行）》的通知（办水保</w:t>
      </w:r>
      <w:r>
        <w:rPr>
          <w:rFonts w:hint="eastAsia" w:cs="Times New Roman"/>
          <w:color w:val="auto"/>
          <w:lang w:eastAsia="zh-CN"/>
        </w:rPr>
        <w:t>〔2018〕135号</w:t>
      </w:r>
      <w:r>
        <w:rPr>
          <w:rFonts w:hint="eastAsia" w:ascii="Times New Roman" w:hAnsi="Times New Roman" w:cs="Times New Roman"/>
          <w:color w:val="auto"/>
          <w:lang w:eastAsia="zh-CN"/>
        </w:rPr>
        <w:t>）的要求，建设单位委托福州市勘测院有限公司开展</w:t>
      </w:r>
      <w:r>
        <w:rPr>
          <w:rFonts w:hint="eastAsia" w:cs="Times New Roman"/>
          <w:color w:val="auto"/>
          <w:lang w:eastAsia="zh-CN"/>
        </w:rPr>
        <w:t>福州市延安中学教育集团国福校区</w:t>
      </w:r>
      <w:r>
        <w:rPr>
          <w:rFonts w:hint="eastAsia" w:ascii="Times New Roman" w:hAnsi="Times New Roman" w:cs="Times New Roman"/>
          <w:color w:val="auto"/>
          <w:lang w:eastAsia="zh-CN"/>
        </w:rPr>
        <w:t>水土保持设施验收技术服务工作，我公司接受任务后随即会同建设单位多次进入现场核查，并配合建设单位召开水土保持设施验收协调会，并收集了设计、施工和监测工作总结等水土保持验收的相关资料。</w:t>
      </w:r>
    </w:p>
    <w:p w14:paraId="2B172F73">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水土保持工程管理、设计、财务等建档资料齐全；水土保持设施基本按批复的水土保持方案建成，建成的水土保持设施质量总体合格，符合水土保持的要求；工程建设期间管理制度健全，较好地控制了工程建设中的水土流失。</w:t>
      </w:r>
    </w:p>
    <w:p w14:paraId="7FBAEF5C">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水土流失治理度、土壤流失控制比、表土保护率、渣土防护率、林草植被恢复率、林草覆盖率等</w:t>
      </w:r>
      <w:r>
        <w:rPr>
          <w:rFonts w:hint="eastAsia" w:ascii="Times New Roman" w:hAnsi="Times New Roman" w:cs="Times New Roman"/>
          <w:color w:val="auto"/>
          <w:lang w:val="en-US" w:eastAsia="zh-CN"/>
        </w:rPr>
        <w:t>六</w:t>
      </w:r>
      <w:r>
        <w:rPr>
          <w:rFonts w:hint="eastAsia" w:ascii="Times New Roman" w:hAnsi="Times New Roman" w:cs="Times New Roman"/>
          <w:color w:val="auto"/>
          <w:lang w:eastAsia="zh-CN"/>
        </w:rPr>
        <w:t>项指标均达到了方案设计目标值。水土保持设施具备正常运行条件，且能安全、有效运转，符合交付使用要求；水土保持设施的管理、维护措施已得到落实，具备开展水土保持设施验收的条件。</w:t>
      </w:r>
    </w:p>
    <w:p w14:paraId="7CD3DD35">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对照水利部《关于印发生产建设项目水土保持设施自主验收规程（试行）的通知》（办水保</w:t>
      </w:r>
      <w:r>
        <w:rPr>
          <w:rFonts w:hint="eastAsia" w:cs="Times New Roman"/>
          <w:color w:val="auto"/>
          <w:lang w:eastAsia="zh-CN"/>
        </w:rPr>
        <w:t>〔2018〕133号</w:t>
      </w:r>
      <w:r>
        <w:rPr>
          <w:rFonts w:hint="eastAsia" w:ascii="Times New Roman" w:hAnsi="Times New Roman" w:cs="Times New Roman"/>
          <w:color w:val="auto"/>
          <w:lang w:eastAsia="zh-CN"/>
        </w:rPr>
        <w:t>），存在下列情况之一的，竣工验收结论应为不通过。本</w:t>
      </w:r>
      <w:r>
        <w:rPr>
          <w:rFonts w:hint="eastAsia" w:cs="Times New Roman"/>
          <w:color w:val="auto"/>
          <w:lang w:eastAsia="zh-CN"/>
        </w:rPr>
        <w:t>项目</w:t>
      </w:r>
      <w:r>
        <w:rPr>
          <w:rFonts w:hint="eastAsia" w:cs="Times New Roman"/>
          <w:color w:val="auto"/>
          <w:lang w:val="en-US" w:eastAsia="zh-CN"/>
        </w:rPr>
        <w:t>与</w:t>
      </w:r>
      <w:r>
        <w:rPr>
          <w:rFonts w:hint="eastAsia" w:ascii="Times New Roman" w:hAnsi="Times New Roman" w:cs="Times New Roman"/>
          <w:color w:val="auto"/>
          <w:lang w:eastAsia="zh-CN"/>
        </w:rPr>
        <w:t>（办水保</w:t>
      </w:r>
      <w:r>
        <w:rPr>
          <w:rFonts w:hint="eastAsia" w:cs="Times New Roman"/>
          <w:color w:val="auto"/>
          <w:lang w:eastAsia="zh-CN"/>
        </w:rPr>
        <w:t>〔2018〕133号</w:t>
      </w:r>
      <w:r>
        <w:rPr>
          <w:rFonts w:hint="eastAsia" w:ascii="Times New Roman" w:hAnsi="Times New Roman" w:cs="Times New Roman"/>
          <w:color w:val="auto"/>
          <w:lang w:eastAsia="zh-CN"/>
        </w:rPr>
        <w:t>）第四条第</w:t>
      </w:r>
      <w:r>
        <w:rPr>
          <w:rFonts w:hint="eastAsia" w:cs="Times New Roman"/>
          <w:color w:val="auto"/>
          <w:lang w:val="en-US" w:eastAsia="zh-CN"/>
        </w:rPr>
        <w:t>8</w:t>
      </w:r>
      <w:r>
        <w:rPr>
          <w:rFonts w:hint="eastAsia" w:ascii="Times New Roman" w:hAnsi="Times New Roman" w:cs="Times New Roman"/>
          <w:color w:val="auto"/>
          <w:lang w:eastAsia="zh-CN"/>
        </w:rPr>
        <w:t>点的逐条对照详见表1，经逐条对照，无不能通过的情况，说明本项目满足水土保持设施自主验收条件。</w:t>
      </w:r>
    </w:p>
    <w:p w14:paraId="653D428F">
      <w:pPr>
        <w:pStyle w:val="7"/>
        <w:jc w:val="center"/>
        <w:rPr>
          <w:rFonts w:hint="eastAsia" w:cs="Times New Roman"/>
          <w:b/>
          <w:bCs/>
          <w:color w:val="auto"/>
          <w:lang w:val="en-US" w:eastAsia="zh-CN"/>
        </w:rPr>
      </w:pPr>
    </w:p>
    <w:p w14:paraId="55889D2A">
      <w:pPr>
        <w:pStyle w:val="7"/>
        <w:jc w:val="center"/>
        <w:rPr>
          <w:rFonts w:hint="default"/>
          <w:b/>
          <w:bCs/>
          <w:lang w:val="en-US" w:eastAsia="zh-CN"/>
        </w:rPr>
      </w:pPr>
      <w:r>
        <w:rPr>
          <w:rFonts w:hint="eastAsia" w:cs="Times New Roman"/>
          <w:b/>
          <w:bCs/>
          <w:color w:val="auto"/>
          <w:lang w:val="en-US" w:eastAsia="zh-CN"/>
        </w:rPr>
        <w:t>表1 水土保持竣工验收不通过情况对照表</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1"/>
        <w:gridCol w:w="3062"/>
        <w:gridCol w:w="4732"/>
        <w:gridCol w:w="653"/>
      </w:tblGrid>
      <w:tr w14:paraId="4D15A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258986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序号</w:t>
            </w:r>
          </w:p>
        </w:tc>
        <w:tc>
          <w:tcPr>
            <w:tcW w:w="1710" w:type="pct"/>
            <w:tcBorders>
              <w:tl2br w:val="nil"/>
              <w:tr2bl w:val="nil"/>
            </w:tcBorders>
            <w:vAlign w:val="center"/>
          </w:tcPr>
          <w:p w14:paraId="098E8F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验收不通过情形</w:t>
            </w:r>
          </w:p>
        </w:tc>
        <w:tc>
          <w:tcPr>
            <w:tcW w:w="2643" w:type="pct"/>
            <w:tcBorders>
              <w:tl2br w:val="nil"/>
              <w:tr2bl w:val="nil"/>
            </w:tcBorders>
            <w:vAlign w:val="center"/>
          </w:tcPr>
          <w:p w14:paraId="7BF3E6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本项目情况</w:t>
            </w:r>
          </w:p>
        </w:tc>
        <w:tc>
          <w:tcPr>
            <w:tcW w:w="365" w:type="pct"/>
            <w:tcBorders>
              <w:tl2br w:val="nil"/>
              <w:tr2bl w:val="nil"/>
            </w:tcBorders>
            <w:vAlign w:val="center"/>
          </w:tcPr>
          <w:p w14:paraId="7CBE89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是否属于</w:t>
            </w:r>
          </w:p>
        </w:tc>
      </w:tr>
      <w:tr w14:paraId="68D45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32CF51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1</w:t>
            </w:r>
          </w:p>
        </w:tc>
        <w:tc>
          <w:tcPr>
            <w:tcW w:w="1710" w:type="pct"/>
            <w:tcBorders>
              <w:tl2br w:val="nil"/>
              <w:tr2bl w:val="nil"/>
            </w:tcBorders>
            <w:vAlign w:val="center"/>
          </w:tcPr>
          <w:p w14:paraId="246554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未依法依规履行水土保持方案及重大变更的编报审批程序的</w:t>
            </w:r>
          </w:p>
        </w:tc>
        <w:tc>
          <w:tcPr>
            <w:tcW w:w="2643" w:type="pct"/>
            <w:tcBorders>
              <w:tl2br w:val="nil"/>
              <w:tr2bl w:val="nil"/>
            </w:tcBorders>
            <w:vAlign w:val="center"/>
          </w:tcPr>
          <w:p w14:paraId="5D5EF2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本工程委托</w:t>
            </w:r>
            <w:r>
              <w:rPr>
                <w:rFonts w:hint="eastAsia" w:cs="Times New Roman"/>
                <w:color w:val="auto"/>
                <w:sz w:val="21"/>
                <w:szCs w:val="21"/>
                <w:vertAlign w:val="baseline"/>
                <w:lang w:eastAsia="zh-CN"/>
              </w:rPr>
              <w:t>福州市勘测院有限公司</w:t>
            </w:r>
            <w:r>
              <w:rPr>
                <w:rFonts w:hint="eastAsia" w:ascii="Times New Roman" w:hAnsi="Times New Roman" w:cs="Times New Roman"/>
                <w:color w:val="auto"/>
                <w:sz w:val="21"/>
                <w:szCs w:val="21"/>
                <w:vertAlign w:val="baseline"/>
                <w:lang w:eastAsia="zh-CN"/>
              </w:rPr>
              <w:t>编制水土保持方案，并获得</w:t>
            </w:r>
            <w:r>
              <w:rPr>
                <w:rFonts w:hint="eastAsia" w:cs="Times New Roman"/>
                <w:color w:val="auto"/>
                <w:sz w:val="21"/>
                <w:szCs w:val="21"/>
                <w:vertAlign w:val="baseline"/>
                <w:lang w:val="en-US" w:eastAsia="zh-CN"/>
              </w:rPr>
              <w:t>福州市水利局</w:t>
            </w:r>
            <w:r>
              <w:rPr>
                <w:rFonts w:hint="eastAsia" w:ascii="Times New Roman" w:hAnsi="Times New Roman" w:cs="Times New Roman"/>
                <w:color w:val="auto"/>
                <w:sz w:val="21"/>
                <w:szCs w:val="21"/>
                <w:vertAlign w:val="baseline"/>
                <w:lang w:eastAsia="zh-CN"/>
              </w:rPr>
              <w:t>批复；项目水土保持方案不存在重大变更</w:t>
            </w:r>
          </w:p>
        </w:tc>
        <w:tc>
          <w:tcPr>
            <w:tcW w:w="365" w:type="pct"/>
            <w:tcBorders>
              <w:tl2br w:val="nil"/>
              <w:tr2bl w:val="nil"/>
            </w:tcBorders>
            <w:vAlign w:val="center"/>
          </w:tcPr>
          <w:p w14:paraId="027347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0E205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6CFE05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2</w:t>
            </w:r>
          </w:p>
        </w:tc>
        <w:tc>
          <w:tcPr>
            <w:tcW w:w="1710" w:type="pct"/>
            <w:tcBorders>
              <w:tl2br w:val="nil"/>
              <w:tr2bl w:val="nil"/>
            </w:tcBorders>
            <w:vAlign w:val="center"/>
          </w:tcPr>
          <w:p w14:paraId="5E8B60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未依法依规开展水土保持监测或补充开展的水土保持监测不符合规定的</w:t>
            </w:r>
          </w:p>
        </w:tc>
        <w:tc>
          <w:tcPr>
            <w:tcW w:w="2643" w:type="pct"/>
            <w:tcBorders>
              <w:tl2br w:val="nil"/>
              <w:tr2bl w:val="nil"/>
            </w:tcBorders>
            <w:vAlign w:val="center"/>
          </w:tcPr>
          <w:p w14:paraId="242813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本工程委托</w:t>
            </w:r>
            <w:r>
              <w:rPr>
                <w:rFonts w:hint="eastAsia" w:cs="Times New Roman"/>
                <w:color w:val="auto"/>
                <w:sz w:val="21"/>
                <w:szCs w:val="21"/>
                <w:vertAlign w:val="baseline"/>
                <w:lang w:eastAsia="zh-CN"/>
              </w:rPr>
              <w:t>福州市勘测院有限公司</w:t>
            </w:r>
            <w:r>
              <w:rPr>
                <w:rFonts w:hint="eastAsia" w:ascii="Times New Roman" w:hAnsi="Times New Roman" w:cs="Times New Roman"/>
                <w:color w:val="auto"/>
                <w:sz w:val="21"/>
                <w:szCs w:val="21"/>
                <w:vertAlign w:val="baseline"/>
                <w:lang w:eastAsia="zh-CN"/>
              </w:rPr>
              <w:t>开展水土保持监测工作，监测工作符合相关规定</w:t>
            </w:r>
          </w:p>
        </w:tc>
        <w:tc>
          <w:tcPr>
            <w:tcW w:w="365" w:type="pct"/>
            <w:tcBorders>
              <w:tl2br w:val="nil"/>
              <w:tr2bl w:val="nil"/>
            </w:tcBorders>
            <w:vAlign w:val="center"/>
          </w:tcPr>
          <w:p w14:paraId="0AB455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0826B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33B7D5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3</w:t>
            </w:r>
          </w:p>
        </w:tc>
        <w:tc>
          <w:tcPr>
            <w:tcW w:w="1710" w:type="pct"/>
            <w:tcBorders>
              <w:tl2br w:val="nil"/>
              <w:tr2bl w:val="nil"/>
            </w:tcBorders>
            <w:vAlign w:val="center"/>
          </w:tcPr>
          <w:p w14:paraId="2E8095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未依法依规开展水土保持监理工作</w:t>
            </w:r>
          </w:p>
        </w:tc>
        <w:tc>
          <w:tcPr>
            <w:tcW w:w="2643" w:type="pct"/>
            <w:tcBorders>
              <w:tl2br w:val="nil"/>
              <w:tr2bl w:val="nil"/>
            </w:tcBorders>
            <w:vAlign w:val="center"/>
          </w:tcPr>
          <w:p w14:paraId="6A5A8C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 xml:space="preserve">水土保持监理工作纳入主体施工监理 </w:t>
            </w:r>
          </w:p>
        </w:tc>
        <w:tc>
          <w:tcPr>
            <w:tcW w:w="365" w:type="pct"/>
            <w:tcBorders>
              <w:tl2br w:val="nil"/>
              <w:tr2bl w:val="nil"/>
            </w:tcBorders>
            <w:vAlign w:val="center"/>
          </w:tcPr>
          <w:p w14:paraId="06B454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38051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0CE370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4</w:t>
            </w:r>
          </w:p>
        </w:tc>
        <w:tc>
          <w:tcPr>
            <w:tcW w:w="1710" w:type="pct"/>
            <w:tcBorders>
              <w:tl2br w:val="nil"/>
              <w:tr2bl w:val="nil"/>
            </w:tcBorders>
            <w:vAlign w:val="center"/>
          </w:tcPr>
          <w:p w14:paraId="2DDAC3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废弃土石渣未堆放在经批准的水土保持方案确定的专门存放地的</w:t>
            </w:r>
          </w:p>
        </w:tc>
        <w:tc>
          <w:tcPr>
            <w:tcW w:w="2643" w:type="pct"/>
            <w:tcBorders>
              <w:tl2br w:val="nil"/>
              <w:tr2bl w:val="nil"/>
            </w:tcBorders>
            <w:vAlign w:val="center"/>
          </w:tcPr>
          <w:p w14:paraId="294F9A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本工程产生的弃方已运往指定项目回填</w:t>
            </w:r>
          </w:p>
        </w:tc>
        <w:tc>
          <w:tcPr>
            <w:tcW w:w="365" w:type="pct"/>
            <w:tcBorders>
              <w:tl2br w:val="nil"/>
              <w:tr2bl w:val="nil"/>
            </w:tcBorders>
            <w:vAlign w:val="center"/>
          </w:tcPr>
          <w:p w14:paraId="218F8D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6E91BE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6842F7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5</w:t>
            </w:r>
          </w:p>
        </w:tc>
        <w:tc>
          <w:tcPr>
            <w:tcW w:w="1710" w:type="pct"/>
            <w:tcBorders>
              <w:tl2br w:val="nil"/>
              <w:tr2bl w:val="nil"/>
            </w:tcBorders>
            <w:vAlign w:val="center"/>
          </w:tcPr>
          <w:p w14:paraId="3AD5DE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水土保持措施体系、等级和标准未按经批准的水土保持方案要求落实的</w:t>
            </w:r>
          </w:p>
        </w:tc>
        <w:tc>
          <w:tcPr>
            <w:tcW w:w="2643" w:type="pct"/>
            <w:tcBorders>
              <w:tl2br w:val="nil"/>
              <w:tr2bl w:val="nil"/>
            </w:tcBorders>
            <w:vAlign w:val="center"/>
          </w:tcPr>
          <w:p w14:paraId="471C9B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水土保持措施体系、等级和标准均按经批准的水土保持方案要求落实</w:t>
            </w:r>
          </w:p>
        </w:tc>
        <w:tc>
          <w:tcPr>
            <w:tcW w:w="365" w:type="pct"/>
            <w:tcBorders>
              <w:tl2br w:val="nil"/>
              <w:tr2bl w:val="nil"/>
            </w:tcBorders>
            <w:vAlign w:val="center"/>
          </w:tcPr>
          <w:p w14:paraId="0EACA2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34EA4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6F8D20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6</w:t>
            </w:r>
          </w:p>
        </w:tc>
        <w:tc>
          <w:tcPr>
            <w:tcW w:w="1710" w:type="pct"/>
            <w:tcBorders>
              <w:tl2br w:val="nil"/>
              <w:tr2bl w:val="nil"/>
            </w:tcBorders>
            <w:vAlign w:val="center"/>
          </w:tcPr>
          <w:p w14:paraId="09D07F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重要防护对象无安全稳定结论或结论为不稳定的</w:t>
            </w:r>
          </w:p>
        </w:tc>
        <w:tc>
          <w:tcPr>
            <w:tcW w:w="2643" w:type="pct"/>
            <w:tcBorders>
              <w:tl2br w:val="nil"/>
              <w:tr2bl w:val="nil"/>
            </w:tcBorders>
            <w:vAlign w:val="center"/>
          </w:tcPr>
          <w:p w14:paraId="7DC131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无重要防护对象</w:t>
            </w:r>
          </w:p>
        </w:tc>
        <w:tc>
          <w:tcPr>
            <w:tcW w:w="365" w:type="pct"/>
            <w:tcBorders>
              <w:tl2br w:val="nil"/>
              <w:tr2bl w:val="nil"/>
            </w:tcBorders>
            <w:vAlign w:val="center"/>
          </w:tcPr>
          <w:p w14:paraId="14BE88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03F0A7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447DE8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7</w:t>
            </w:r>
          </w:p>
        </w:tc>
        <w:tc>
          <w:tcPr>
            <w:tcW w:w="1710" w:type="pct"/>
            <w:tcBorders>
              <w:tl2br w:val="nil"/>
              <w:tr2bl w:val="nil"/>
            </w:tcBorders>
            <w:vAlign w:val="center"/>
          </w:tcPr>
          <w:p w14:paraId="629D3D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水土保持分部工程和单位工程未经验收或验收不合格的</w:t>
            </w:r>
          </w:p>
        </w:tc>
        <w:tc>
          <w:tcPr>
            <w:tcW w:w="2643" w:type="pct"/>
            <w:tcBorders>
              <w:tl2br w:val="nil"/>
              <w:tr2bl w:val="nil"/>
            </w:tcBorders>
            <w:vAlign w:val="center"/>
          </w:tcPr>
          <w:p w14:paraId="47FA0C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 xml:space="preserve">本工程水土保持分部工程和单位工程经验收为合格 </w:t>
            </w:r>
          </w:p>
        </w:tc>
        <w:tc>
          <w:tcPr>
            <w:tcW w:w="365" w:type="pct"/>
            <w:tcBorders>
              <w:tl2br w:val="nil"/>
              <w:tr2bl w:val="nil"/>
            </w:tcBorders>
            <w:vAlign w:val="center"/>
          </w:tcPr>
          <w:p w14:paraId="5B27AF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4E1D8C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0E0024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8</w:t>
            </w:r>
          </w:p>
        </w:tc>
        <w:tc>
          <w:tcPr>
            <w:tcW w:w="1710" w:type="pct"/>
            <w:tcBorders>
              <w:tl2br w:val="nil"/>
              <w:tr2bl w:val="nil"/>
            </w:tcBorders>
            <w:vAlign w:val="center"/>
          </w:tcPr>
          <w:p w14:paraId="493263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水土保持监测总结报告、监理总结报告等材料弄虚作假或存在重大技术问题的</w:t>
            </w:r>
          </w:p>
        </w:tc>
        <w:tc>
          <w:tcPr>
            <w:tcW w:w="2643" w:type="pct"/>
            <w:tcBorders>
              <w:tl2br w:val="nil"/>
              <w:tr2bl w:val="nil"/>
            </w:tcBorders>
            <w:vAlign w:val="center"/>
          </w:tcPr>
          <w:p w14:paraId="1BCB09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水土保持监测总结报告材料按规范进行编报，不存在重大技术问题</w:t>
            </w:r>
          </w:p>
        </w:tc>
        <w:tc>
          <w:tcPr>
            <w:tcW w:w="365" w:type="pct"/>
            <w:tcBorders>
              <w:tl2br w:val="nil"/>
              <w:tr2bl w:val="nil"/>
            </w:tcBorders>
            <w:vAlign w:val="center"/>
          </w:tcPr>
          <w:p w14:paraId="31DD60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r w14:paraId="2F208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80" w:type="pct"/>
            <w:tcBorders>
              <w:tl2br w:val="nil"/>
              <w:tr2bl w:val="nil"/>
            </w:tcBorders>
            <w:vAlign w:val="center"/>
          </w:tcPr>
          <w:p w14:paraId="41E238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9</w:t>
            </w:r>
          </w:p>
        </w:tc>
        <w:tc>
          <w:tcPr>
            <w:tcW w:w="1710" w:type="pct"/>
            <w:tcBorders>
              <w:tl2br w:val="nil"/>
              <w:tr2bl w:val="nil"/>
            </w:tcBorders>
            <w:vAlign w:val="center"/>
          </w:tcPr>
          <w:p w14:paraId="0242761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color w:val="auto"/>
                <w:sz w:val="21"/>
                <w:szCs w:val="21"/>
                <w:vertAlign w:val="baseline"/>
                <w:lang w:eastAsia="zh-CN"/>
              </w:rPr>
            </w:pPr>
            <w:r>
              <w:rPr>
                <w:rFonts w:hint="eastAsia" w:ascii="Times New Roman" w:hAnsi="Times New Roman" w:cs="Times New Roman"/>
                <w:color w:val="auto"/>
                <w:sz w:val="21"/>
                <w:szCs w:val="21"/>
                <w:vertAlign w:val="baseline"/>
                <w:lang w:eastAsia="zh-CN"/>
              </w:rPr>
              <w:t>未依法依规缴纳水土保持补偿费的</w:t>
            </w:r>
          </w:p>
        </w:tc>
        <w:tc>
          <w:tcPr>
            <w:tcW w:w="2643" w:type="pct"/>
            <w:tcBorders>
              <w:tl2br w:val="nil"/>
              <w:tr2bl w:val="nil"/>
            </w:tcBorders>
            <w:vAlign w:val="center"/>
          </w:tcPr>
          <w:p w14:paraId="0FC426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vertAlign w:val="baseline"/>
                <w:lang w:val="en-US" w:eastAsia="zh-CN"/>
              </w:rPr>
            </w:pPr>
            <w:r>
              <w:rPr>
                <w:rFonts w:hint="eastAsia" w:ascii="Times New Roman" w:hAnsi="Times New Roman" w:cs="Times New Roman"/>
                <w:color w:val="auto"/>
                <w:sz w:val="21"/>
                <w:szCs w:val="21"/>
                <w:vertAlign w:val="baseline"/>
                <w:lang w:val="en-US" w:eastAsia="zh-CN"/>
              </w:rPr>
              <w:t>根据《福州市延安中学教育集团国福校区水土保持方案的批复》（</w:t>
            </w:r>
            <w:r>
              <w:rPr>
                <w:rFonts w:hint="eastAsia" w:cs="Times New Roman"/>
                <w:color w:val="auto"/>
                <w:sz w:val="21"/>
                <w:szCs w:val="21"/>
                <w:vertAlign w:val="baseline"/>
                <w:lang w:val="en-US" w:eastAsia="zh-CN"/>
              </w:rPr>
              <w:t>榕水利批〔2023〕86</w:t>
            </w:r>
            <w:r>
              <w:rPr>
                <w:rFonts w:hint="eastAsia" w:ascii="Times New Roman" w:hAnsi="Times New Roman" w:cs="Times New Roman"/>
                <w:color w:val="auto"/>
                <w:sz w:val="21"/>
                <w:szCs w:val="21"/>
                <w:vertAlign w:val="baseline"/>
                <w:lang w:val="en-US" w:eastAsia="zh-CN"/>
              </w:rPr>
              <w:t>号），本工程免征水土保持补偿费</w:t>
            </w:r>
          </w:p>
        </w:tc>
        <w:tc>
          <w:tcPr>
            <w:tcW w:w="365" w:type="pct"/>
            <w:tcBorders>
              <w:tl2br w:val="nil"/>
              <w:tr2bl w:val="nil"/>
            </w:tcBorders>
            <w:vAlign w:val="center"/>
          </w:tcPr>
          <w:p w14:paraId="6EF21B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否</w:t>
            </w:r>
          </w:p>
        </w:tc>
      </w:tr>
    </w:tbl>
    <w:p w14:paraId="16B8FF1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eastAsia="仿宋"/>
          <w:color w:val="auto"/>
          <w:kern w:val="0"/>
          <w:szCs w:val="28"/>
        </w:rPr>
      </w:pPr>
      <w:r>
        <w:rPr>
          <w:rFonts w:hint="eastAsia" w:ascii="Times New Roman" w:hAnsi="Times New Roman" w:cs="Times New Roman"/>
          <w:color w:val="auto"/>
          <w:lang w:eastAsia="zh-CN"/>
        </w:rPr>
        <w:t>在此基础上，我公司于202</w:t>
      </w:r>
      <w:r>
        <w:rPr>
          <w:rFonts w:hint="eastAsia" w:cs="Times New Roman"/>
          <w:color w:val="auto"/>
          <w:lang w:val="en-US" w:eastAsia="zh-CN"/>
        </w:rPr>
        <w:t>5</w:t>
      </w:r>
      <w:r>
        <w:rPr>
          <w:rFonts w:hint="eastAsia" w:ascii="Times New Roman" w:hAnsi="Times New Roman" w:cs="Times New Roman"/>
          <w:color w:val="auto"/>
          <w:lang w:eastAsia="zh-CN"/>
        </w:rPr>
        <w:t>年</w:t>
      </w:r>
      <w:r>
        <w:rPr>
          <w:rFonts w:hint="eastAsia" w:cs="Times New Roman"/>
          <w:color w:val="auto"/>
          <w:lang w:val="en-US" w:eastAsia="zh-CN"/>
        </w:rPr>
        <w:t>7</w:t>
      </w:r>
      <w:r>
        <w:rPr>
          <w:rFonts w:hint="eastAsia" w:ascii="Times New Roman" w:hAnsi="Times New Roman" w:cs="Times New Roman"/>
          <w:color w:val="auto"/>
          <w:lang w:eastAsia="zh-CN"/>
        </w:rPr>
        <w:t>月编制完成《</w:t>
      </w:r>
      <w:r>
        <w:rPr>
          <w:rFonts w:hint="eastAsia" w:cs="Times New Roman"/>
          <w:color w:val="auto"/>
          <w:lang w:eastAsia="zh-CN"/>
        </w:rPr>
        <w:t>福州市延安中学教育集团国福校区</w:t>
      </w:r>
      <w:r>
        <w:rPr>
          <w:rFonts w:hint="eastAsia" w:ascii="Times New Roman" w:hAnsi="Times New Roman" w:cs="Times New Roman"/>
          <w:color w:val="auto"/>
          <w:lang w:eastAsia="zh-CN"/>
        </w:rPr>
        <w:t>水土保持设施验收报告》。在工程建设过程中，</w:t>
      </w:r>
      <w:r>
        <w:rPr>
          <w:rFonts w:hint="eastAsia" w:cs="Times New Roman"/>
          <w:color w:val="auto"/>
          <w:lang w:val="en-US" w:eastAsia="zh-CN"/>
        </w:rPr>
        <w:t>福州市</w:t>
      </w:r>
      <w:r>
        <w:rPr>
          <w:rFonts w:hint="eastAsia" w:ascii="Times New Roman" w:hAnsi="Times New Roman" w:cs="Times New Roman"/>
          <w:color w:val="auto"/>
          <w:lang w:eastAsia="zh-CN"/>
        </w:rPr>
        <w:t>水利行政主管部门给予了大力支持和帮助，为确保工程建设的如期完成起到了重要作用。在工程即将验收之际，谨对在工程建设中给予我们大力支持和帮助的各级水行政主管部门</w:t>
      </w:r>
      <w:r>
        <w:rPr>
          <w:rFonts w:hint="eastAsia" w:cs="Times New Roman"/>
          <w:color w:val="auto"/>
          <w:lang w:eastAsia="zh-CN"/>
        </w:rPr>
        <w:t>，以及</w:t>
      </w:r>
      <w:r>
        <w:rPr>
          <w:rFonts w:hint="eastAsia" w:ascii="Times New Roman" w:hAnsi="Times New Roman" w:cs="Times New Roman"/>
          <w:color w:val="auto"/>
          <w:lang w:eastAsia="zh-CN"/>
        </w:rPr>
        <w:t>大力支持和积极配合我们工作的各参建单位表示衷心的感谢</w:t>
      </w:r>
      <w:r>
        <w:rPr>
          <w:rFonts w:eastAsia="仿宋"/>
          <w:color w:val="auto"/>
          <w:kern w:val="0"/>
          <w:szCs w:val="28"/>
        </w:rPr>
        <w:t>！</w:t>
      </w:r>
    </w:p>
    <w:p w14:paraId="448168FD">
      <w:pPr>
        <w:pStyle w:val="2"/>
        <w:widowControl/>
        <w:adjustRightInd w:val="0"/>
        <w:snapToGrid w:val="0"/>
        <w:ind w:firstLine="723"/>
        <w:rPr>
          <w:rFonts w:eastAsia="仿宋"/>
          <w:color w:val="auto"/>
          <w:szCs w:val="22"/>
        </w:rPr>
        <w:sectPr>
          <w:pgSz w:w="11849" w:h="16781"/>
          <w:pgMar w:top="1417" w:right="1417" w:bottom="1417" w:left="1417" w:header="567" w:footer="964" w:gutter="283"/>
          <w:pgBorders>
            <w:top w:val="none" w:sz="0" w:space="0"/>
            <w:left w:val="none" w:sz="0" w:space="0"/>
            <w:bottom w:val="single" w:color="auto" w:sz="4" w:space="1"/>
            <w:right w:val="none" w:sz="0" w:space="0"/>
          </w:pgBorders>
          <w:pgNumType w:fmt="upperRoman" w:start="1"/>
          <w:cols w:space="0" w:num="1"/>
          <w:docGrid w:type="lines" w:linePitch="398" w:charSpace="0"/>
        </w:sectPr>
      </w:pPr>
    </w:p>
    <w:p w14:paraId="62AD5869">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eastAsia" w:ascii="Times New Roman" w:hAnsi="Times New Roman" w:eastAsia="仿宋" w:cs="Times New Roman"/>
          <w:b/>
          <w:color w:val="auto"/>
          <w:kern w:val="44"/>
          <w:sz w:val="36"/>
          <w:szCs w:val="22"/>
          <w:lang w:val="en-US" w:eastAsia="zh-CN" w:bidi="ar-SA"/>
        </w:rPr>
      </w:pPr>
      <w:bookmarkStart w:id="8" w:name="_Toc24413"/>
      <w:r>
        <w:rPr>
          <w:rFonts w:hint="eastAsia" w:ascii="Times New Roman" w:hAnsi="Times New Roman" w:eastAsia="仿宋" w:cs="Times New Roman"/>
          <w:b/>
          <w:bCs w:val="0"/>
          <w:color w:val="auto"/>
          <w:kern w:val="44"/>
          <w:sz w:val="36"/>
          <w:szCs w:val="22"/>
          <w:lang w:val="en-US" w:eastAsia="zh-CN" w:bidi="ar-SA"/>
        </w:rPr>
        <w:t>水土保持设施验收特性表</w:t>
      </w:r>
      <w:bookmarkEnd w:id="8"/>
    </w:p>
    <w:tbl>
      <w:tblPr>
        <w:tblStyle w:val="22"/>
        <w:tblW w:w="504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2118"/>
        <w:gridCol w:w="1872"/>
        <w:gridCol w:w="1373"/>
        <w:gridCol w:w="611"/>
        <w:gridCol w:w="308"/>
        <w:gridCol w:w="2564"/>
      </w:tblGrid>
      <w:tr w14:paraId="662A48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97" w:type="pct"/>
            <w:tcBorders>
              <w:tl2br w:val="nil"/>
              <w:tr2bl w:val="nil"/>
            </w:tcBorders>
            <w:vAlign w:val="center"/>
          </w:tcPr>
          <w:p w14:paraId="3400272C">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验收工程名称</w:t>
            </w:r>
          </w:p>
        </w:tc>
        <w:tc>
          <w:tcPr>
            <w:tcW w:w="1058" w:type="pct"/>
            <w:tcBorders>
              <w:tl2br w:val="nil"/>
              <w:tr2bl w:val="nil"/>
            </w:tcBorders>
            <w:vAlign w:val="center"/>
          </w:tcPr>
          <w:p w14:paraId="6581CCC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eastAsia" w:ascii="Times New Roman" w:hAnsi="Times New Roman" w:eastAsia="仿宋" w:cs="Times New Roman"/>
                <w:spacing w:val="8"/>
                <w:sz w:val="21"/>
                <w:szCs w:val="21"/>
                <w:lang w:val="en-US" w:eastAsia="zh-CN"/>
              </w:rPr>
              <w:t>福州市延安中学教育集团国福校区</w:t>
            </w:r>
          </w:p>
        </w:tc>
        <w:tc>
          <w:tcPr>
            <w:tcW w:w="1121" w:type="pct"/>
            <w:gridSpan w:val="2"/>
            <w:tcBorders>
              <w:tl2br w:val="nil"/>
              <w:tr2bl w:val="nil"/>
            </w:tcBorders>
            <w:vAlign w:val="center"/>
          </w:tcPr>
          <w:p w14:paraId="0B3B8D8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验收工程地点</w:t>
            </w:r>
          </w:p>
        </w:tc>
        <w:tc>
          <w:tcPr>
            <w:tcW w:w="1623" w:type="pct"/>
            <w:gridSpan w:val="2"/>
            <w:tcBorders>
              <w:tl2br w:val="nil"/>
              <w:tr2bl w:val="nil"/>
            </w:tcBorders>
            <w:vAlign w:val="center"/>
          </w:tcPr>
          <w:p w14:paraId="6F734F0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rPr>
            </w:pPr>
            <w:r>
              <w:rPr>
                <w:rFonts w:hint="eastAsia" w:ascii="Times New Roman" w:hAnsi="Times New Roman" w:eastAsia="仿宋" w:cs="Times New Roman"/>
                <w:spacing w:val="7"/>
                <w:sz w:val="21"/>
                <w:szCs w:val="21"/>
                <w:lang w:val="en-US" w:eastAsia="zh-CN"/>
              </w:rPr>
              <w:t>福州市鼓楼区</w:t>
            </w:r>
          </w:p>
        </w:tc>
      </w:tr>
      <w:tr w14:paraId="76B23E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197" w:type="pct"/>
            <w:tcBorders>
              <w:tl2br w:val="nil"/>
              <w:tr2bl w:val="nil"/>
            </w:tcBorders>
            <w:vAlign w:val="center"/>
          </w:tcPr>
          <w:p w14:paraId="6EB9CD1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验收工程性质</w:t>
            </w:r>
          </w:p>
        </w:tc>
        <w:tc>
          <w:tcPr>
            <w:tcW w:w="1058" w:type="pct"/>
            <w:tcBorders>
              <w:tl2br w:val="nil"/>
              <w:tr2bl w:val="nil"/>
            </w:tcBorders>
            <w:vAlign w:val="center"/>
          </w:tcPr>
          <w:p w14:paraId="618B2A4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新建</w:t>
            </w:r>
          </w:p>
        </w:tc>
        <w:tc>
          <w:tcPr>
            <w:tcW w:w="1121" w:type="pct"/>
            <w:gridSpan w:val="2"/>
            <w:tcBorders>
              <w:tl2br w:val="nil"/>
              <w:tr2bl w:val="nil"/>
            </w:tcBorders>
            <w:vAlign w:val="center"/>
          </w:tcPr>
          <w:p w14:paraId="0AE0A84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设计水平年</w:t>
            </w:r>
          </w:p>
        </w:tc>
        <w:tc>
          <w:tcPr>
            <w:tcW w:w="1623" w:type="pct"/>
            <w:gridSpan w:val="2"/>
            <w:tcBorders>
              <w:tl2br w:val="nil"/>
              <w:tr2bl w:val="nil"/>
            </w:tcBorders>
            <w:vAlign w:val="center"/>
          </w:tcPr>
          <w:p w14:paraId="106D56D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202</w:t>
            </w:r>
            <w:r>
              <w:rPr>
                <w:rFonts w:hint="eastAsia" w:ascii="Times New Roman" w:hAnsi="Times New Roman" w:eastAsia="仿宋" w:cs="Times New Roman"/>
                <w:spacing w:val="2"/>
                <w:sz w:val="21"/>
                <w:szCs w:val="21"/>
                <w:lang w:val="en-US" w:eastAsia="zh-CN"/>
              </w:rPr>
              <w:t>6</w:t>
            </w:r>
            <w:r>
              <w:rPr>
                <w:rFonts w:hint="default" w:ascii="Times New Roman" w:hAnsi="Times New Roman" w:eastAsia="仿宋" w:cs="Times New Roman"/>
                <w:spacing w:val="2"/>
                <w:sz w:val="21"/>
                <w:szCs w:val="21"/>
              </w:rPr>
              <w:t>年</w:t>
            </w:r>
          </w:p>
        </w:tc>
      </w:tr>
      <w:tr w14:paraId="402783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197" w:type="pct"/>
            <w:tcBorders>
              <w:tl2br w:val="nil"/>
              <w:tr2bl w:val="nil"/>
            </w:tcBorders>
            <w:vAlign w:val="center"/>
          </w:tcPr>
          <w:p w14:paraId="77A4522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4"/>
                <w:sz w:val="21"/>
                <w:szCs w:val="21"/>
              </w:rPr>
              <w:t>动工时间</w:t>
            </w:r>
          </w:p>
        </w:tc>
        <w:tc>
          <w:tcPr>
            <w:tcW w:w="1058" w:type="pct"/>
            <w:tcBorders>
              <w:tl2br w:val="nil"/>
              <w:tr2bl w:val="nil"/>
            </w:tcBorders>
            <w:vAlign w:val="center"/>
          </w:tcPr>
          <w:p w14:paraId="24AA370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20</w:t>
            </w:r>
            <w:r>
              <w:rPr>
                <w:rFonts w:hint="eastAsia" w:ascii="Times New Roman" w:hAnsi="Times New Roman" w:eastAsia="仿宋" w:cs="Times New Roman"/>
                <w:color w:val="auto"/>
                <w:spacing w:val="1"/>
                <w:sz w:val="21"/>
                <w:szCs w:val="21"/>
                <w:lang w:val="en-US" w:eastAsia="zh-CN"/>
              </w:rPr>
              <w:t>23</w:t>
            </w:r>
            <w:r>
              <w:rPr>
                <w:rFonts w:hint="default" w:ascii="Times New Roman" w:hAnsi="Times New Roman" w:eastAsia="仿宋" w:cs="Times New Roman"/>
                <w:color w:val="auto"/>
                <w:spacing w:val="1"/>
                <w:sz w:val="21"/>
                <w:szCs w:val="21"/>
              </w:rPr>
              <w:t>年</w:t>
            </w:r>
            <w:r>
              <w:rPr>
                <w:rFonts w:hint="eastAsia" w:ascii="Times New Roman" w:hAnsi="Times New Roman" w:eastAsia="仿宋" w:cs="Times New Roman"/>
                <w:color w:val="auto"/>
                <w:spacing w:val="1"/>
                <w:sz w:val="21"/>
                <w:szCs w:val="21"/>
                <w:lang w:val="en-US" w:eastAsia="zh-CN"/>
              </w:rPr>
              <w:t>6</w:t>
            </w:r>
            <w:r>
              <w:rPr>
                <w:rFonts w:hint="default" w:ascii="Times New Roman" w:hAnsi="Times New Roman" w:eastAsia="仿宋" w:cs="Times New Roman"/>
                <w:color w:val="auto"/>
                <w:spacing w:val="1"/>
                <w:sz w:val="21"/>
                <w:szCs w:val="21"/>
              </w:rPr>
              <w:t>月</w:t>
            </w:r>
          </w:p>
        </w:tc>
        <w:tc>
          <w:tcPr>
            <w:tcW w:w="1121" w:type="pct"/>
            <w:gridSpan w:val="2"/>
            <w:tcBorders>
              <w:tl2br w:val="nil"/>
              <w:tr2bl w:val="nil"/>
            </w:tcBorders>
            <w:vAlign w:val="center"/>
          </w:tcPr>
          <w:p w14:paraId="2E08E60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4"/>
                <w:sz w:val="21"/>
                <w:szCs w:val="21"/>
              </w:rPr>
              <w:t>完工时间</w:t>
            </w:r>
          </w:p>
        </w:tc>
        <w:tc>
          <w:tcPr>
            <w:tcW w:w="1623" w:type="pct"/>
            <w:gridSpan w:val="2"/>
            <w:tcBorders>
              <w:tl2br w:val="nil"/>
              <w:tr2bl w:val="nil"/>
            </w:tcBorders>
            <w:vAlign w:val="center"/>
          </w:tcPr>
          <w:p w14:paraId="39D44365">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202</w:t>
            </w:r>
            <w:r>
              <w:rPr>
                <w:rFonts w:hint="eastAsia" w:ascii="Times New Roman" w:hAnsi="Times New Roman" w:eastAsia="仿宋" w:cs="Times New Roman"/>
                <w:color w:val="auto"/>
                <w:spacing w:val="1"/>
                <w:sz w:val="21"/>
                <w:szCs w:val="21"/>
                <w:lang w:val="en-US" w:eastAsia="zh-CN"/>
              </w:rPr>
              <w:t>5</w:t>
            </w:r>
            <w:r>
              <w:rPr>
                <w:rFonts w:hint="default" w:ascii="Times New Roman" w:hAnsi="Times New Roman" w:eastAsia="仿宋" w:cs="Times New Roman"/>
                <w:color w:val="auto"/>
                <w:spacing w:val="1"/>
                <w:sz w:val="21"/>
                <w:szCs w:val="21"/>
              </w:rPr>
              <w:t>年</w:t>
            </w:r>
            <w:r>
              <w:rPr>
                <w:rFonts w:hint="eastAsia" w:ascii="Times New Roman" w:hAnsi="Times New Roman" w:eastAsia="仿宋" w:cs="Times New Roman"/>
                <w:color w:val="auto"/>
                <w:spacing w:val="1"/>
                <w:sz w:val="21"/>
                <w:szCs w:val="21"/>
                <w:lang w:val="en-US" w:eastAsia="zh-CN"/>
              </w:rPr>
              <w:t>6</w:t>
            </w:r>
            <w:r>
              <w:rPr>
                <w:rFonts w:hint="default" w:ascii="Times New Roman" w:hAnsi="Times New Roman" w:eastAsia="仿宋" w:cs="Times New Roman"/>
                <w:color w:val="auto"/>
                <w:spacing w:val="1"/>
                <w:sz w:val="21"/>
                <w:szCs w:val="21"/>
              </w:rPr>
              <w:t>月</w:t>
            </w:r>
          </w:p>
        </w:tc>
      </w:tr>
      <w:tr w14:paraId="702CC9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97" w:type="pct"/>
            <w:tcBorders>
              <w:tl2br w:val="nil"/>
              <w:tr2bl w:val="nil"/>
            </w:tcBorders>
            <w:vAlign w:val="center"/>
          </w:tcPr>
          <w:p w14:paraId="0C2B688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流域管理机构</w:t>
            </w:r>
          </w:p>
        </w:tc>
        <w:tc>
          <w:tcPr>
            <w:tcW w:w="1058" w:type="pct"/>
            <w:tcBorders>
              <w:tl2br w:val="nil"/>
              <w:tr2bl w:val="nil"/>
            </w:tcBorders>
            <w:vAlign w:val="center"/>
          </w:tcPr>
          <w:p w14:paraId="05EE287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太湖流域管理局</w:t>
            </w:r>
          </w:p>
        </w:tc>
        <w:tc>
          <w:tcPr>
            <w:tcW w:w="1121" w:type="pct"/>
            <w:gridSpan w:val="2"/>
            <w:tcBorders>
              <w:tl2br w:val="nil"/>
              <w:tr2bl w:val="nil"/>
            </w:tcBorders>
            <w:vAlign w:val="center"/>
          </w:tcPr>
          <w:p w14:paraId="4DA2B7A2">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所属省级水土流失</w:t>
            </w:r>
            <w:r>
              <w:rPr>
                <w:rFonts w:hint="default" w:ascii="Times New Roman" w:hAnsi="Times New Roman" w:eastAsia="仿宋" w:cs="Times New Roman"/>
                <w:spacing w:val="6"/>
                <w:sz w:val="21"/>
                <w:szCs w:val="21"/>
              </w:rPr>
              <w:t>重点防治区</w:t>
            </w:r>
          </w:p>
        </w:tc>
        <w:tc>
          <w:tcPr>
            <w:tcW w:w="1623" w:type="pct"/>
            <w:gridSpan w:val="2"/>
            <w:tcBorders>
              <w:tl2br w:val="nil"/>
              <w:tr2bl w:val="nil"/>
            </w:tcBorders>
            <w:vAlign w:val="center"/>
          </w:tcPr>
          <w:p w14:paraId="2A34646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未列入省级水土流失重点防治区</w:t>
            </w:r>
          </w:p>
        </w:tc>
      </w:tr>
      <w:tr w14:paraId="2F895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97" w:type="pct"/>
            <w:tcBorders>
              <w:tl2br w:val="nil"/>
              <w:tr2bl w:val="nil"/>
            </w:tcBorders>
            <w:vAlign w:val="center"/>
          </w:tcPr>
          <w:p w14:paraId="180DD1C3">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水土保持方案批复部</w:t>
            </w:r>
            <w:r>
              <w:rPr>
                <w:rFonts w:hint="default" w:ascii="Times New Roman" w:hAnsi="Times New Roman" w:eastAsia="仿宋" w:cs="Times New Roman"/>
                <w:spacing w:val="-1"/>
                <w:sz w:val="21"/>
                <w:szCs w:val="21"/>
              </w:rPr>
              <w:t>门、</w:t>
            </w:r>
            <w:r>
              <w:rPr>
                <w:rFonts w:hint="default" w:ascii="Times New Roman" w:hAnsi="Times New Roman" w:eastAsia="仿宋" w:cs="Times New Roman"/>
                <w:spacing w:val="-57"/>
                <w:sz w:val="21"/>
                <w:szCs w:val="21"/>
              </w:rPr>
              <w:t xml:space="preserve"> </w:t>
            </w:r>
            <w:r>
              <w:rPr>
                <w:rFonts w:hint="default" w:ascii="Times New Roman" w:hAnsi="Times New Roman" w:eastAsia="仿宋" w:cs="Times New Roman"/>
                <w:spacing w:val="-1"/>
                <w:sz w:val="21"/>
                <w:szCs w:val="21"/>
              </w:rPr>
              <w:t>时间及文号</w:t>
            </w:r>
          </w:p>
        </w:tc>
        <w:tc>
          <w:tcPr>
            <w:tcW w:w="3802" w:type="pct"/>
            <w:gridSpan w:val="5"/>
            <w:tcBorders>
              <w:tl2br w:val="nil"/>
              <w:tr2bl w:val="nil"/>
            </w:tcBorders>
            <w:vAlign w:val="center"/>
          </w:tcPr>
          <w:p w14:paraId="707D732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eastAsia" w:ascii="Times New Roman" w:hAnsi="Times New Roman" w:eastAsia="仿宋" w:cs="Times New Roman"/>
                <w:color w:val="auto"/>
                <w:spacing w:val="3"/>
                <w:sz w:val="21"/>
                <w:szCs w:val="21"/>
                <w:lang w:eastAsia="zh-CN"/>
              </w:rPr>
              <w:t>福州市水利局，</w:t>
            </w:r>
            <w:r>
              <w:rPr>
                <w:rFonts w:hint="eastAsia" w:ascii="Times New Roman" w:hAnsi="Times New Roman" w:eastAsia="仿宋" w:cs="Times New Roman"/>
                <w:color w:val="auto"/>
                <w:spacing w:val="3"/>
                <w:sz w:val="21"/>
                <w:szCs w:val="21"/>
                <w:lang w:val="en-US" w:eastAsia="zh-CN"/>
              </w:rPr>
              <w:t>榕</w:t>
            </w:r>
            <w:r>
              <w:rPr>
                <w:rFonts w:hint="eastAsia" w:ascii="Times New Roman" w:hAnsi="Times New Roman" w:eastAsia="仿宋" w:cs="Times New Roman"/>
                <w:color w:val="auto"/>
                <w:spacing w:val="3"/>
                <w:sz w:val="21"/>
                <w:szCs w:val="21"/>
                <w:lang w:eastAsia="zh-CN"/>
              </w:rPr>
              <w:t>水利批〔202</w:t>
            </w:r>
            <w:r>
              <w:rPr>
                <w:rFonts w:hint="eastAsia" w:ascii="Times New Roman" w:hAnsi="Times New Roman" w:eastAsia="仿宋" w:cs="Times New Roman"/>
                <w:color w:val="auto"/>
                <w:spacing w:val="3"/>
                <w:sz w:val="21"/>
                <w:szCs w:val="21"/>
                <w:lang w:val="en-US" w:eastAsia="zh-CN"/>
              </w:rPr>
              <w:t>3</w:t>
            </w:r>
            <w:r>
              <w:rPr>
                <w:rFonts w:hint="eastAsia" w:ascii="Times New Roman" w:hAnsi="Times New Roman" w:eastAsia="仿宋" w:cs="Times New Roman"/>
                <w:color w:val="auto"/>
                <w:spacing w:val="3"/>
                <w:sz w:val="21"/>
                <w:szCs w:val="21"/>
                <w:lang w:eastAsia="zh-CN"/>
              </w:rPr>
              <w:t>〕</w:t>
            </w:r>
            <w:r>
              <w:rPr>
                <w:rFonts w:hint="eastAsia" w:ascii="Times New Roman" w:hAnsi="Times New Roman" w:eastAsia="仿宋" w:cs="Times New Roman"/>
                <w:color w:val="auto"/>
                <w:spacing w:val="3"/>
                <w:sz w:val="21"/>
                <w:szCs w:val="21"/>
                <w:lang w:val="en-US" w:eastAsia="zh-CN"/>
              </w:rPr>
              <w:t>86</w:t>
            </w:r>
            <w:r>
              <w:rPr>
                <w:rFonts w:hint="eastAsia" w:ascii="Times New Roman" w:hAnsi="Times New Roman" w:eastAsia="仿宋" w:cs="Times New Roman"/>
                <w:color w:val="auto"/>
                <w:spacing w:val="3"/>
                <w:sz w:val="21"/>
                <w:szCs w:val="21"/>
                <w:lang w:eastAsia="zh-CN"/>
              </w:rPr>
              <w:t>号，202</w:t>
            </w:r>
            <w:r>
              <w:rPr>
                <w:rFonts w:hint="eastAsia" w:ascii="Times New Roman" w:hAnsi="Times New Roman" w:eastAsia="仿宋" w:cs="Times New Roman"/>
                <w:color w:val="auto"/>
                <w:spacing w:val="3"/>
                <w:sz w:val="21"/>
                <w:szCs w:val="21"/>
                <w:lang w:val="en-US" w:eastAsia="zh-CN"/>
              </w:rPr>
              <w:t>3</w:t>
            </w:r>
            <w:r>
              <w:rPr>
                <w:rFonts w:hint="eastAsia" w:ascii="Times New Roman" w:hAnsi="Times New Roman" w:eastAsia="仿宋" w:cs="Times New Roman"/>
                <w:color w:val="auto"/>
                <w:spacing w:val="3"/>
                <w:sz w:val="21"/>
                <w:szCs w:val="21"/>
                <w:lang w:eastAsia="zh-CN"/>
              </w:rPr>
              <w:t>年</w:t>
            </w:r>
            <w:r>
              <w:rPr>
                <w:rFonts w:hint="eastAsia" w:ascii="Times New Roman" w:hAnsi="Times New Roman" w:eastAsia="仿宋" w:cs="Times New Roman"/>
                <w:color w:val="auto"/>
                <w:spacing w:val="3"/>
                <w:sz w:val="21"/>
                <w:szCs w:val="21"/>
                <w:lang w:val="en-US" w:eastAsia="zh-CN"/>
              </w:rPr>
              <w:t>10</w:t>
            </w:r>
            <w:r>
              <w:rPr>
                <w:rFonts w:hint="eastAsia" w:ascii="Times New Roman" w:hAnsi="Times New Roman" w:eastAsia="仿宋" w:cs="Times New Roman"/>
                <w:color w:val="auto"/>
                <w:spacing w:val="3"/>
                <w:sz w:val="21"/>
                <w:szCs w:val="21"/>
                <w:lang w:eastAsia="zh-CN"/>
              </w:rPr>
              <w:t>月</w:t>
            </w:r>
            <w:r>
              <w:rPr>
                <w:rFonts w:hint="eastAsia" w:ascii="Times New Roman" w:hAnsi="Times New Roman" w:eastAsia="仿宋" w:cs="Times New Roman"/>
                <w:color w:val="auto"/>
                <w:spacing w:val="3"/>
                <w:sz w:val="21"/>
                <w:szCs w:val="21"/>
                <w:lang w:val="en-US" w:eastAsia="zh-CN"/>
              </w:rPr>
              <w:t>24</w:t>
            </w:r>
            <w:r>
              <w:rPr>
                <w:rFonts w:hint="eastAsia" w:ascii="Times New Roman" w:hAnsi="Times New Roman" w:eastAsia="仿宋" w:cs="Times New Roman"/>
                <w:color w:val="auto"/>
                <w:spacing w:val="3"/>
                <w:sz w:val="21"/>
                <w:szCs w:val="21"/>
                <w:lang w:eastAsia="zh-CN"/>
              </w:rPr>
              <w:t>日</w:t>
            </w:r>
          </w:p>
        </w:tc>
      </w:tr>
      <w:tr w14:paraId="37D492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97" w:type="pct"/>
            <w:tcBorders>
              <w:tl2br w:val="nil"/>
              <w:tr2bl w:val="nil"/>
            </w:tcBorders>
            <w:vAlign w:val="center"/>
          </w:tcPr>
          <w:p w14:paraId="42126FC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工期</w:t>
            </w:r>
          </w:p>
        </w:tc>
        <w:tc>
          <w:tcPr>
            <w:tcW w:w="1058" w:type="pct"/>
            <w:tcBorders>
              <w:tl2br w:val="nil"/>
              <w:tr2bl w:val="nil"/>
            </w:tcBorders>
            <w:vAlign w:val="center"/>
          </w:tcPr>
          <w:p w14:paraId="4D93D9D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主体工程</w:t>
            </w:r>
          </w:p>
        </w:tc>
        <w:tc>
          <w:tcPr>
            <w:tcW w:w="2744" w:type="pct"/>
            <w:gridSpan w:val="4"/>
            <w:tcBorders>
              <w:tl2br w:val="nil"/>
              <w:tr2bl w:val="nil"/>
            </w:tcBorders>
            <w:vAlign w:val="center"/>
          </w:tcPr>
          <w:p w14:paraId="1C8C8CD5">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eastAsia="zh-CN"/>
              </w:rPr>
            </w:pPr>
            <w:r>
              <w:rPr>
                <w:rFonts w:hint="default" w:ascii="Times New Roman" w:hAnsi="Times New Roman" w:eastAsia="仿宋" w:cs="Times New Roman"/>
                <w:spacing w:val="1"/>
                <w:sz w:val="21"/>
                <w:szCs w:val="21"/>
              </w:rPr>
              <w:t>工期</w:t>
            </w:r>
            <w:r>
              <w:rPr>
                <w:rFonts w:hint="eastAsia" w:ascii="Times New Roman" w:hAnsi="Times New Roman" w:eastAsia="仿宋" w:cs="Times New Roman"/>
                <w:spacing w:val="-32"/>
                <w:sz w:val="21"/>
                <w:szCs w:val="21"/>
                <w:lang w:val="en-US" w:eastAsia="zh-CN"/>
              </w:rPr>
              <w:t>25</w:t>
            </w:r>
            <w:r>
              <w:rPr>
                <w:rFonts w:hint="eastAsia" w:ascii="Times New Roman" w:hAnsi="Times New Roman" w:eastAsia="仿宋" w:cs="Times New Roman"/>
                <w:spacing w:val="-32"/>
                <w:sz w:val="21"/>
                <w:szCs w:val="21"/>
                <w:lang w:eastAsia="zh-CN"/>
              </w:rPr>
              <w:t>个月</w:t>
            </w:r>
          </w:p>
        </w:tc>
      </w:tr>
      <w:tr w14:paraId="434DD1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97" w:type="pct"/>
            <w:vMerge w:val="restart"/>
            <w:tcBorders>
              <w:tl2br w:val="nil"/>
              <w:tr2bl w:val="nil"/>
            </w:tcBorders>
            <w:vAlign w:val="center"/>
          </w:tcPr>
          <w:p w14:paraId="7CA1397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土壤侵蚀量</w:t>
            </w:r>
          </w:p>
        </w:tc>
        <w:tc>
          <w:tcPr>
            <w:tcW w:w="1058" w:type="pct"/>
            <w:tcBorders>
              <w:tl2br w:val="nil"/>
              <w:tr2bl w:val="nil"/>
            </w:tcBorders>
            <w:vAlign w:val="center"/>
          </w:tcPr>
          <w:p w14:paraId="27474B7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水土保持方案估算量</w:t>
            </w:r>
          </w:p>
        </w:tc>
        <w:tc>
          <w:tcPr>
            <w:tcW w:w="2744" w:type="pct"/>
            <w:gridSpan w:val="4"/>
            <w:tcBorders>
              <w:tl2br w:val="nil"/>
              <w:tr2bl w:val="nil"/>
            </w:tcBorders>
            <w:vAlign w:val="center"/>
          </w:tcPr>
          <w:p w14:paraId="14E21B7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highlight w:val="yellow"/>
                <w:lang w:val="en-US" w:eastAsia="zh-CN"/>
              </w:rPr>
            </w:pPr>
            <w:r>
              <w:rPr>
                <w:rFonts w:hint="eastAsia" w:eastAsia="仿宋" w:cs="Times New Roman"/>
                <w:color w:val="auto"/>
                <w:sz w:val="21"/>
                <w:szCs w:val="21"/>
                <w:highlight w:val="none"/>
                <w:lang w:val="en-US" w:eastAsia="zh-CN"/>
              </w:rPr>
              <w:t>670.94</w:t>
            </w:r>
            <w:r>
              <w:rPr>
                <w:rFonts w:hint="default" w:ascii="Times New Roman" w:hAnsi="Times New Roman" w:eastAsia="仿宋" w:cs="Times New Roman"/>
                <w:color w:val="auto"/>
                <w:spacing w:val="3"/>
                <w:sz w:val="21"/>
                <w:szCs w:val="21"/>
                <w:highlight w:val="none"/>
                <w:shd w:val="clear"/>
              </w:rPr>
              <w:t>t</w:t>
            </w:r>
          </w:p>
        </w:tc>
      </w:tr>
      <w:tr w14:paraId="7197C5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97" w:type="pct"/>
            <w:vMerge w:val="continue"/>
            <w:tcBorders>
              <w:tl2br w:val="nil"/>
              <w:tr2bl w:val="nil"/>
            </w:tcBorders>
            <w:vAlign w:val="center"/>
          </w:tcPr>
          <w:p w14:paraId="48B0016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5CC0961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水土保持监测量</w:t>
            </w:r>
          </w:p>
        </w:tc>
        <w:tc>
          <w:tcPr>
            <w:tcW w:w="2744" w:type="pct"/>
            <w:gridSpan w:val="4"/>
            <w:tcBorders>
              <w:tl2br w:val="nil"/>
              <w:tr2bl w:val="nil"/>
            </w:tcBorders>
            <w:vAlign w:val="center"/>
          </w:tcPr>
          <w:p w14:paraId="0E1B4C5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highlight w:val="yellow"/>
              </w:rPr>
            </w:pPr>
            <w:r>
              <w:rPr>
                <w:rFonts w:hint="eastAsia" w:eastAsia="仿宋" w:cs="Times New Roman"/>
                <w:color w:val="auto"/>
                <w:spacing w:val="2"/>
                <w:sz w:val="21"/>
                <w:szCs w:val="21"/>
                <w:highlight w:val="none"/>
                <w:shd w:val="clear"/>
                <w:lang w:val="en-US" w:eastAsia="zh-CN"/>
              </w:rPr>
              <w:t>53.43</w:t>
            </w:r>
            <w:r>
              <w:rPr>
                <w:rFonts w:hint="default" w:ascii="Times New Roman" w:hAnsi="Times New Roman" w:eastAsia="仿宋" w:cs="Times New Roman"/>
                <w:color w:val="auto"/>
                <w:spacing w:val="3"/>
                <w:sz w:val="21"/>
                <w:szCs w:val="21"/>
                <w:highlight w:val="none"/>
                <w:shd w:val="clear"/>
              </w:rPr>
              <w:t>t</w:t>
            </w:r>
          </w:p>
        </w:tc>
      </w:tr>
      <w:tr w14:paraId="0FDEB4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2255" w:type="pct"/>
            <w:gridSpan w:val="2"/>
            <w:vMerge w:val="restart"/>
            <w:tcBorders>
              <w:tl2br w:val="nil"/>
              <w:tr2bl w:val="nil"/>
            </w:tcBorders>
            <w:vAlign w:val="center"/>
          </w:tcPr>
          <w:p w14:paraId="68EA4D2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position w:val="1"/>
                <w:sz w:val="21"/>
                <w:szCs w:val="21"/>
              </w:rPr>
              <w:t>水土流失防治责任范围</w:t>
            </w:r>
            <w:r>
              <w:rPr>
                <w:rFonts w:hint="eastAsia" w:ascii="Times New Roman" w:hAnsi="Times New Roman" w:eastAsia="仿宋" w:cs="Times New Roman"/>
                <w:spacing w:val="7"/>
                <w:sz w:val="21"/>
                <w:szCs w:val="21"/>
                <w:lang w:eastAsia="zh-CN"/>
              </w:rPr>
              <w:t>（</w:t>
            </w:r>
            <w:r>
              <w:rPr>
                <w:rFonts w:hint="default" w:ascii="Times New Roman" w:hAnsi="Times New Roman" w:eastAsia="仿宋" w:cs="Times New Roman"/>
                <w:sz w:val="21"/>
                <w:szCs w:val="21"/>
              </w:rPr>
              <w:t>hm</w:t>
            </w:r>
            <w:r>
              <w:rPr>
                <w:rFonts w:hint="eastAsia" w:ascii="Times New Roman" w:hAnsi="Times New Roman" w:eastAsia="仿宋" w:cs="Times New Roman"/>
                <w:sz w:val="21"/>
                <w:szCs w:val="21"/>
                <w:vertAlign w:val="superscript"/>
                <w:lang w:val="en-US" w:eastAsia="zh-CN"/>
              </w:rPr>
              <w:t>2</w:t>
            </w:r>
            <w:r>
              <w:rPr>
                <w:rFonts w:hint="default" w:ascii="Times New Roman" w:hAnsi="Times New Roman" w:eastAsia="仿宋" w:cs="Times New Roman"/>
                <w:spacing w:val="-6"/>
                <w:position w:val="6"/>
                <w:sz w:val="21"/>
                <w:szCs w:val="21"/>
              </w:rPr>
              <w:t xml:space="preserve"> </w:t>
            </w:r>
            <w:r>
              <w:rPr>
                <w:rFonts w:hint="eastAsia" w:ascii="Times New Roman" w:hAnsi="Times New Roman" w:eastAsia="仿宋" w:cs="Times New Roman"/>
                <w:spacing w:val="7"/>
                <w:sz w:val="21"/>
                <w:szCs w:val="21"/>
                <w:lang w:eastAsia="zh-CN"/>
              </w:rPr>
              <w:t>）</w:t>
            </w:r>
          </w:p>
        </w:tc>
        <w:tc>
          <w:tcPr>
            <w:tcW w:w="1295" w:type="pct"/>
            <w:gridSpan w:val="3"/>
            <w:tcBorders>
              <w:tl2br w:val="nil"/>
              <w:tr2bl w:val="nil"/>
            </w:tcBorders>
            <w:vAlign w:val="center"/>
          </w:tcPr>
          <w:p w14:paraId="7FA4F2D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水土保持方案界定的防</w:t>
            </w:r>
            <w:r>
              <w:rPr>
                <w:rFonts w:hint="default" w:ascii="Times New Roman" w:hAnsi="Times New Roman" w:eastAsia="仿宋" w:cs="Times New Roman"/>
                <w:spacing w:val="7"/>
                <w:sz w:val="21"/>
                <w:szCs w:val="21"/>
              </w:rPr>
              <w:t>治责任范围</w:t>
            </w:r>
            <w:r>
              <w:rPr>
                <w:rFonts w:hint="eastAsia" w:ascii="Times New Roman" w:hAnsi="Times New Roman" w:eastAsia="仿宋" w:cs="Times New Roman"/>
                <w:spacing w:val="7"/>
                <w:sz w:val="21"/>
                <w:szCs w:val="21"/>
                <w:lang w:eastAsia="zh-CN"/>
              </w:rPr>
              <w:t>（</w:t>
            </w:r>
            <w:r>
              <w:rPr>
                <w:rFonts w:hint="default" w:ascii="Times New Roman" w:hAnsi="Times New Roman" w:eastAsia="仿宋" w:cs="Times New Roman"/>
                <w:sz w:val="21"/>
                <w:szCs w:val="21"/>
              </w:rPr>
              <w:t>hm</w:t>
            </w:r>
            <w:r>
              <w:rPr>
                <w:rFonts w:hint="eastAsia" w:ascii="Times New Roman" w:hAnsi="Times New Roman" w:eastAsia="仿宋" w:cs="Times New Roman"/>
                <w:sz w:val="21"/>
                <w:szCs w:val="21"/>
                <w:vertAlign w:val="superscript"/>
                <w:lang w:val="en-US" w:eastAsia="zh-CN"/>
              </w:rPr>
              <w:t>2</w:t>
            </w:r>
            <w:r>
              <w:rPr>
                <w:rFonts w:hint="default" w:ascii="Times New Roman" w:hAnsi="Times New Roman" w:eastAsia="仿宋" w:cs="Times New Roman"/>
                <w:spacing w:val="-6"/>
                <w:position w:val="6"/>
                <w:sz w:val="21"/>
                <w:szCs w:val="21"/>
              </w:rPr>
              <w:t xml:space="preserve"> </w:t>
            </w:r>
            <w:r>
              <w:rPr>
                <w:rFonts w:hint="eastAsia" w:ascii="Times New Roman" w:hAnsi="Times New Roman" w:eastAsia="仿宋" w:cs="Times New Roman"/>
                <w:spacing w:val="7"/>
                <w:sz w:val="21"/>
                <w:szCs w:val="21"/>
                <w:lang w:eastAsia="zh-CN"/>
              </w:rPr>
              <w:t>）</w:t>
            </w:r>
          </w:p>
        </w:tc>
        <w:tc>
          <w:tcPr>
            <w:tcW w:w="1449" w:type="pct"/>
            <w:tcBorders>
              <w:tl2br w:val="nil"/>
              <w:tr2bl w:val="nil"/>
            </w:tcBorders>
            <w:vAlign w:val="center"/>
          </w:tcPr>
          <w:p w14:paraId="296959C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实际发生的水土流失防治责</w:t>
            </w:r>
            <w:r>
              <w:rPr>
                <w:rFonts w:hint="default" w:ascii="Times New Roman" w:hAnsi="Times New Roman" w:eastAsia="仿宋" w:cs="Times New Roman"/>
                <w:spacing w:val="5"/>
                <w:sz w:val="21"/>
                <w:szCs w:val="21"/>
              </w:rPr>
              <w:t>任范围</w:t>
            </w:r>
            <w:r>
              <w:rPr>
                <w:rFonts w:hint="eastAsia" w:ascii="Times New Roman" w:hAnsi="Times New Roman" w:eastAsia="仿宋" w:cs="Times New Roman"/>
                <w:spacing w:val="7"/>
                <w:sz w:val="21"/>
                <w:szCs w:val="21"/>
                <w:lang w:eastAsia="zh-CN"/>
              </w:rPr>
              <w:t>（</w:t>
            </w:r>
            <w:r>
              <w:rPr>
                <w:rFonts w:hint="default" w:ascii="Times New Roman" w:hAnsi="Times New Roman" w:eastAsia="仿宋" w:cs="Times New Roman"/>
                <w:sz w:val="21"/>
                <w:szCs w:val="21"/>
              </w:rPr>
              <w:t>hm</w:t>
            </w:r>
            <w:r>
              <w:rPr>
                <w:rFonts w:hint="eastAsia" w:ascii="Times New Roman" w:hAnsi="Times New Roman" w:eastAsia="仿宋" w:cs="Times New Roman"/>
                <w:sz w:val="21"/>
                <w:szCs w:val="21"/>
                <w:vertAlign w:val="superscript"/>
                <w:lang w:val="en-US" w:eastAsia="zh-CN"/>
              </w:rPr>
              <w:t>2</w:t>
            </w:r>
            <w:r>
              <w:rPr>
                <w:rFonts w:hint="default" w:ascii="Times New Roman" w:hAnsi="Times New Roman" w:eastAsia="仿宋" w:cs="Times New Roman"/>
                <w:spacing w:val="-6"/>
                <w:position w:val="6"/>
                <w:sz w:val="21"/>
                <w:szCs w:val="21"/>
              </w:rPr>
              <w:t xml:space="preserve"> </w:t>
            </w:r>
            <w:r>
              <w:rPr>
                <w:rFonts w:hint="eastAsia" w:ascii="Times New Roman" w:hAnsi="Times New Roman" w:eastAsia="仿宋" w:cs="Times New Roman"/>
                <w:spacing w:val="7"/>
                <w:sz w:val="21"/>
                <w:szCs w:val="21"/>
                <w:lang w:eastAsia="zh-CN"/>
              </w:rPr>
              <w:t>）</w:t>
            </w:r>
          </w:p>
        </w:tc>
      </w:tr>
      <w:tr w14:paraId="6654EB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2255" w:type="pct"/>
            <w:gridSpan w:val="2"/>
            <w:vMerge w:val="continue"/>
            <w:tcBorders>
              <w:tl2br w:val="nil"/>
              <w:tr2bl w:val="nil"/>
            </w:tcBorders>
            <w:vAlign w:val="center"/>
          </w:tcPr>
          <w:p w14:paraId="7085CFE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295" w:type="pct"/>
            <w:gridSpan w:val="3"/>
            <w:tcBorders>
              <w:tl2br w:val="nil"/>
              <w:tr2bl w:val="nil"/>
            </w:tcBorders>
            <w:vAlign w:val="center"/>
          </w:tcPr>
          <w:p w14:paraId="67CBEEE9">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pacing w:val="2"/>
                <w:sz w:val="21"/>
                <w:szCs w:val="21"/>
                <w:lang w:val="en-US" w:eastAsia="zh-CN"/>
              </w:rPr>
              <w:t>2.90</w:t>
            </w:r>
          </w:p>
        </w:tc>
        <w:tc>
          <w:tcPr>
            <w:tcW w:w="1449" w:type="pct"/>
            <w:tcBorders>
              <w:tl2br w:val="nil"/>
              <w:tr2bl w:val="nil"/>
            </w:tcBorders>
            <w:vAlign w:val="center"/>
          </w:tcPr>
          <w:p w14:paraId="39AA45A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pacing w:val="2"/>
                <w:sz w:val="21"/>
                <w:szCs w:val="21"/>
                <w:lang w:val="en-US" w:eastAsia="zh-CN"/>
              </w:rPr>
              <w:t>2.90</w:t>
            </w:r>
          </w:p>
        </w:tc>
      </w:tr>
      <w:tr w14:paraId="04C668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97" w:type="pct"/>
            <w:tcBorders>
              <w:tl2br w:val="nil"/>
              <w:tr2bl w:val="nil"/>
            </w:tcBorders>
            <w:vAlign w:val="center"/>
          </w:tcPr>
          <w:p w14:paraId="31F0274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防治目标</w:t>
            </w:r>
          </w:p>
        </w:tc>
        <w:tc>
          <w:tcPr>
            <w:tcW w:w="1834" w:type="pct"/>
            <w:gridSpan w:val="2"/>
            <w:tcBorders>
              <w:tl2br w:val="nil"/>
              <w:tr2bl w:val="nil"/>
            </w:tcBorders>
            <w:vAlign w:val="center"/>
          </w:tcPr>
          <w:p w14:paraId="0F38D0D0">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水保方案目标值</w:t>
            </w:r>
          </w:p>
        </w:tc>
        <w:tc>
          <w:tcPr>
            <w:tcW w:w="1968" w:type="pct"/>
            <w:gridSpan w:val="3"/>
            <w:tcBorders>
              <w:tl2br w:val="nil"/>
              <w:tr2bl w:val="nil"/>
            </w:tcBorders>
            <w:vAlign w:val="center"/>
          </w:tcPr>
          <w:p w14:paraId="679205B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实际值</w:t>
            </w:r>
          </w:p>
        </w:tc>
      </w:tr>
      <w:tr w14:paraId="7E3D4A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5A120DB0">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水土流失治理度（%）</w:t>
            </w:r>
          </w:p>
        </w:tc>
        <w:tc>
          <w:tcPr>
            <w:tcW w:w="1834" w:type="pct"/>
            <w:gridSpan w:val="2"/>
            <w:tcBorders>
              <w:tl2br w:val="nil"/>
              <w:tr2bl w:val="nil"/>
            </w:tcBorders>
            <w:vAlign w:val="center"/>
          </w:tcPr>
          <w:p w14:paraId="1891E83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98</w:t>
            </w:r>
          </w:p>
        </w:tc>
        <w:tc>
          <w:tcPr>
            <w:tcW w:w="1968" w:type="pct"/>
            <w:gridSpan w:val="3"/>
            <w:tcBorders>
              <w:tl2br w:val="nil"/>
              <w:tr2bl w:val="nil"/>
            </w:tcBorders>
            <w:vAlign w:val="center"/>
          </w:tcPr>
          <w:p w14:paraId="6BFE2895">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bCs/>
                <w:color w:val="auto"/>
                <w:sz w:val="21"/>
                <w:szCs w:val="21"/>
                <w:lang w:val="en-US" w:eastAsia="zh-CN"/>
              </w:rPr>
              <w:t>99.31</w:t>
            </w:r>
          </w:p>
        </w:tc>
      </w:tr>
      <w:tr w14:paraId="04B12D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00A5C05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土壤流失控制比</w:t>
            </w:r>
          </w:p>
        </w:tc>
        <w:tc>
          <w:tcPr>
            <w:tcW w:w="1834" w:type="pct"/>
            <w:gridSpan w:val="2"/>
            <w:tcBorders>
              <w:tl2br w:val="nil"/>
              <w:tr2bl w:val="nil"/>
            </w:tcBorders>
            <w:vAlign w:val="center"/>
          </w:tcPr>
          <w:p w14:paraId="1B516FF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eastAsia="仿宋" w:cs="Times New Roman"/>
                <w:sz w:val="21"/>
                <w:szCs w:val="21"/>
                <w:lang w:val="en-US" w:eastAsia="zh-CN"/>
              </w:rPr>
              <w:t>.00</w:t>
            </w:r>
          </w:p>
        </w:tc>
        <w:tc>
          <w:tcPr>
            <w:tcW w:w="1968" w:type="pct"/>
            <w:gridSpan w:val="3"/>
            <w:tcBorders>
              <w:tl2br w:val="nil"/>
              <w:tr2bl w:val="nil"/>
            </w:tcBorders>
            <w:vAlign w:val="center"/>
          </w:tcPr>
          <w:p w14:paraId="53BA140F">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kern w:val="0"/>
                <w:sz w:val="21"/>
                <w:szCs w:val="21"/>
                <w:lang w:val="en-US" w:eastAsia="zh-CN"/>
              </w:rPr>
              <w:t>1.56</w:t>
            </w:r>
          </w:p>
        </w:tc>
      </w:tr>
      <w:tr w14:paraId="114681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4E33946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position w:val="1"/>
                <w:sz w:val="21"/>
                <w:szCs w:val="21"/>
              </w:rPr>
              <w:t>渣土防护率（%）</w:t>
            </w:r>
          </w:p>
        </w:tc>
        <w:tc>
          <w:tcPr>
            <w:tcW w:w="1834" w:type="pct"/>
            <w:gridSpan w:val="2"/>
            <w:tcBorders>
              <w:tl2br w:val="nil"/>
              <w:tr2bl w:val="nil"/>
            </w:tcBorders>
            <w:vAlign w:val="center"/>
          </w:tcPr>
          <w:p w14:paraId="525B35DF">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z w:val="21"/>
                <w:szCs w:val="21"/>
                <w:lang w:val="en-US" w:eastAsia="zh-CN"/>
              </w:rPr>
              <w:t>99</w:t>
            </w:r>
          </w:p>
        </w:tc>
        <w:tc>
          <w:tcPr>
            <w:tcW w:w="1968" w:type="pct"/>
            <w:gridSpan w:val="3"/>
            <w:tcBorders>
              <w:tl2br w:val="nil"/>
              <w:tr2bl w:val="nil"/>
            </w:tcBorders>
            <w:vAlign w:val="center"/>
          </w:tcPr>
          <w:p w14:paraId="2269E0E1">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sz w:val="21"/>
                <w:szCs w:val="21"/>
                <w:lang w:val="en-US" w:eastAsia="zh-CN"/>
              </w:rPr>
              <w:t>99.53</w:t>
            </w:r>
          </w:p>
        </w:tc>
      </w:tr>
      <w:tr w14:paraId="5FD841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08AC0EBC">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表土保护率（%）</w:t>
            </w:r>
          </w:p>
        </w:tc>
        <w:tc>
          <w:tcPr>
            <w:tcW w:w="1834" w:type="pct"/>
            <w:gridSpan w:val="2"/>
            <w:tcBorders>
              <w:tl2br w:val="nil"/>
              <w:tr2bl w:val="nil"/>
            </w:tcBorders>
            <w:vAlign w:val="center"/>
          </w:tcPr>
          <w:p w14:paraId="2D05325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z w:val="21"/>
                <w:szCs w:val="21"/>
                <w:lang w:val="en-US" w:eastAsia="zh-CN"/>
              </w:rPr>
              <w:t>92</w:t>
            </w:r>
          </w:p>
        </w:tc>
        <w:tc>
          <w:tcPr>
            <w:tcW w:w="1968" w:type="pct"/>
            <w:gridSpan w:val="3"/>
            <w:tcBorders>
              <w:tl2br w:val="nil"/>
              <w:tr2bl w:val="nil"/>
            </w:tcBorders>
            <w:vAlign w:val="center"/>
          </w:tcPr>
          <w:p w14:paraId="1CDE1597">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Times New Roman" w:hAnsi="Times New Roman" w:eastAsia="仿宋" w:cs="Times New Roman"/>
                <w:color w:val="auto"/>
                <w:sz w:val="21"/>
                <w:szCs w:val="21"/>
                <w:highlight w:val="yellow"/>
                <w:lang w:eastAsia="zh-CN"/>
              </w:rPr>
            </w:pPr>
            <w:r>
              <w:rPr>
                <w:rFonts w:hint="eastAsia" w:eastAsia="仿宋"/>
                <w:color w:val="auto"/>
                <w:kern w:val="0"/>
                <w:sz w:val="21"/>
                <w:szCs w:val="21"/>
                <w:lang w:val="en-US" w:eastAsia="zh-CN"/>
              </w:rPr>
              <w:t>/</w:t>
            </w:r>
          </w:p>
        </w:tc>
      </w:tr>
      <w:tr w14:paraId="5FB44E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320B22A2">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林草植被恢复率（%）</w:t>
            </w:r>
          </w:p>
        </w:tc>
        <w:tc>
          <w:tcPr>
            <w:tcW w:w="1834" w:type="pct"/>
            <w:gridSpan w:val="2"/>
            <w:tcBorders>
              <w:tl2br w:val="nil"/>
              <w:tr2bl w:val="nil"/>
            </w:tcBorders>
            <w:vAlign w:val="center"/>
          </w:tcPr>
          <w:p w14:paraId="0E9E5BB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98</w:t>
            </w:r>
          </w:p>
        </w:tc>
        <w:tc>
          <w:tcPr>
            <w:tcW w:w="1968" w:type="pct"/>
            <w:gridSpan w:val="3"/>
            <w:tcBorders>
              <w:tl2br w:val="nil"/>
              <w:tr2bl w:val="nil"/>
            </w:tcBorders>
            <w:vAlign w:val="center"/>
          </w:tcPr>
          <w:p w14:paraId="3EF7C11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sz w:val="21"/>
                <w:szCs w:val="21"/>
                <w:lang w:val="en-US" w:eastAsia="zh-CN"/>
              </w:rPr>
              <w:t>98.80</w:t>
            </w:r>
          </w:p>
        </w:tc>
      </w:tr>
      <w:tr w14:paraId="1F50DE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97" w:type="pct"/>
            <w:tcBorders>
              <w:tl2br w:val="nil"/>
              <w:tr2bl w:val="nil"/>
            </w:tcBorders>
            <w:vAlign w:val="center"/>
          </w:tcPr>
          <w:p w14:paraId="3D39DC07">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position w:val="1"/>
                <w:sz w:val="21"/>
                <w:szCs w:val="21"/>
              </w:rPr>
              <w:t>林草覆盖率（%）</w:t>
            </w:r>
          </w:p>
        </w:tc>
        <w:tc>
          <w:tcPr>
            <w:tcW w:w="1834" w:type="pct"/>
            <w:gridSpan w:val="2"/>
            <w:tcBorders>
              <w:tl2br w:val="nil"/>
              <w:tr2bl w:val="nil"/>
            </w:tcBorders>
            <w:vAlign w:val="center"/>
          </w:tcPr>
          <w:p w14:paraId="1735525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lang w:val="en-US" w:eastAsia="zh-CN"/>
              </w:rPr>
            </w:pPr>
            <w:r>
              <w:rPr>
                <w:rFonts w:hint="eastAsia" w:eastAsia="仿宋" w:cs="Times New Roman"/>
                <w:spacing w:val="2"/>
                <w:sz w:val="21"/>
                <w:szCs w:val="21"/>
                <w:lang w:val="en-US" w:eastAsia="zh-CN"/>
              </w:rPr>
              <w:t>27</w:t>
            </w:r>
          </w:p>
        </w:tc>
        <w:tc>
          <w:tcPr>
            <w:tcW w:w="1968" w:type="pct"/>
            <w:gridSpan w:val="3"/>
            <w:tcBorders>
              <w:tl2br w:val="nil"/>
              <w:tr2bl w:val="nil"/>
            </w:tcBorders>
            <w:vAlign w:val="center"/>
          </w:tcPr>
          <w:p w14:paraId="5474C9AB">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auto"/>
                <w:sz w:val="21"/>
                <w:szCs w:val="21"/>
                <w:highlight w:val="yellow"/>
                <w:lang w:val="en-US" w:eastAsia="zh-CN"/>
              </w:rPr>
            </w:pPr>
            <w:r>
              <w:rPr>
                <w:rFonts w:hint="eastAsia" w:eastAsia="仿宋"/>
                <w:color w:val="auto"/>
                <w:sz w:val="21"/>
                <w:szCs w:val="21"/>
                <w:lang w:val="en-US" w:eastAsia="zh-CN"/>
              </w:rPr>
              <w:t>28.28</w:t>
            </w:r>
          </w:p>
        </w:tc>
      </w:tr>
      <w:tr w14:paraId="005423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1197" w:type="pct"/>
            <w:vMerge w:val="restart"/>
            <w:tcBorders>
              <w:tl2br w:val="nil"/>
              <w:tr2bl w:val="nil"/>
            </w:tcBorders>
            <w:vAlign w:val="center"/>
          </w:tcPr>
          <w:p w14:paraId="0871695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主要工程量</w:t>
            </w:r>
          </w:p>
        </w:tc>
        <w:tc>
          <w:tcPr>
            <w:tcW w:w="1058" w:type="pct"/>
            <w:tcBorders>
              <w:tl2br w:val="nil"/>
              <w:tr2bl w:val="nil"/>
            </w:tcBorders>
            <w:vAlign w:val="center"/>
          </w:tcPr>
          <w:p w14:paraId="5F8861B2">
            <w:pPr>
              <w:spacing w:line="240" w:lineRule="auto"/>
              <w:ind w:firstLine="480"/>
              <w:rPr>
                <w:rFonts w:hint="default" w:ascii="Times New Roman" w:hAnsi="Times New Roman" w:eastAsia="仿宋" w:cs="Times New Roman"/>
                <w:sz w:val="21"/>
                <w:szCs w:val="21"/>
                <w:highlight w:val="none"/>
              </w:rPr>
            </w:pPr>
            <w:r>
              <w:rPr>
                <w:rFonts w:hint="default" w:ascii="Times New Roman" w:hAnsi="Times New Roman" w:eastAsia="仿宋" w:cs="Times New Roman"/>
                <w:spacing w:val="6"/>
                <w:sz w:val="21"/>
                <w:szCs w:val="21"/>
                <w:highlight w:val="none"/>
              </w:rPr>
              <w:t>工程措施</w:t>
            </w:r>
          </w:p>
        </w:tc>
        <w:tc>
          <w:tcPr>
            <w:tcW w:w="2744" w:type="pct"/>
            <w:gridSpan w:val="4"/>
            <w:tcBorders>
              <w:tl2br w:val="nil"/>
              <w:tr2bl w:val="nil"/>
            </w:tcBorders>
            <w:vAlign w:val="center"/>
          </w:tcPr>
          <w:p w14:paraId="05966C1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主体工程区：</w:t>
            </w:r>
            <w:r>
              <w:rPr>
                <w:rFonts w:hint="default" w:eastAsia="仿宋" w:cs="Times New Roman"/>
                <w:color w:val="auto"/>
                <w:sz w:val="21"/>
                <w:szCs w:val="21"/>
                <w:highlight w:val="none"/>
                <w:lang w:val="en-US" w:eastAsia="zh-CN"/>
              </w:rPr>
              <w:t>全面整地0.80h</w:t>
            </w:r>
            <w:r>
              <w:rPr>
                <w:rFonts w:hint="eastAsia" w:eastAsia="仿宋" w:cs="Times New Roman"/>
                <w:color w:val="auto"/>
                <w:sz w:val="21"/>
                <w:szCs w:val="21"/>
                <w:highlight w:val="none"/>
                <w:lang w:val="en-US" w:eastAsia="zh-CN"/>
              </w:rPr>
              <w:t>m</w:t>
            </w:r>
            <w:r>
              <w:rPr>
                <w:rFonts w:hint="eastAsia" w:eastAsia="仿宋" w:cs="Times New Roman"/>
                <w:color w:val="auto"/>
                <w:sz w:val="21"/>
                <w:szCs w:val="21"/>
                <w:highlight w:val="none"/>
                <w:vertAlign w:val="superscript"/>
                <w:lang w:val="en-US" w:eastAsia="zh-CN"/>
              </w:rPr>
              <w:t>2</w:t>
            </w:r>
            <w:r>
              <w:rPr>
                <w:rFonts w:hint="default" w:eastAsia="仿宋" w:cs="Times New Roman"/>
                <w:color w:val="auto"/>
                <w:sz w:val="21"/>
                <w:szCs w:val="21"/>
                <w:highlight w:val="none"/>
                <w:lang w:val="en-US" w:eastAsia="zh-CN"/>
              </w:rPr>
              <w:t>、覆土0.32万</w:t>
            </w:r>
            <w:r>
              <w:rPr>
                <w:rFonts w:hint="eastAsia" w:eastAsia="仿宋" w:cs="Times New Roman"/>
                <w:color w:val="auto"/>
                <w:sz w:val="21"/>
                <w:szCs w:val="21"/>
                <w:highlight w:val="none"/>
                <w:lang w:val="en-US" w:eastAsia="zh-CN"/>
              </w:rPr>
              <w:t>m</w:t>
            </w:r>
            <w:r>
              <w:rPr>
                <w:rFonts w:hint="eastAsia" w:eastAsia="仿宋" w:cs="Times New Roman"/>
                <w:color w:val="auto"/>
                <w:sz w:val="21"/>
                <w:szCs w:val="21"/>
                <w:highlight w:val="none"/>
                <w:vertAlign w:val="superscript"/>
                <w:lang w:val="en-US" w:eastAsia="zh-CN"/>
              </w:rPr>
              <w:t>3</w:t>
            </w:r>
            <w:r>
              <w:rPr>
                <w:rFonts w:hint="default" w:eastAsia="仿宋" w:cs="Times New Roman"/>
                <w:color w:val="auto"/>
                <w:sz w:val="21"/>
                <w:szCs w:val="21"/>
                <w:highlight w:val="none"/>
                <w:lang w:val="en-US" w:eastAsia="zh-CN"/>
              </w:rPr>
              <w:t>、雨水管852.70m、铺植草砖117.6</w:t>
            </w:r>
            <w:r>
              <w:rPr>
                <w:rFonts w:hint="eastAsia" w:eastAsia="仿宋" w:cs="Times New Roman"/>
                <w:color w:val="auto"/>
                <w:sz w:val="21"/>
                <w:szCs w:val="21"/>
                <w:highlight w:val="none"/>
                <w:lang w:val="en-US" w:eastAsia="zh-CN"/>
              </w:rPr>
              <w:t>m</w:t>
            </w:r>
            <w:r>
              <w:rPr>
                <w:rFonts w:hint="eastAsia" w:eastAsia="仿宋" w:cs="Times New Roman"/>
                <w:color w:val="auto"/>
                <w:sz w:val="21"/>
                <w:szCs w:val="21"/>
                <w:highlight w:val="none"/>
                <w:vertAlign w:val="superscript"/>
                <w:lang w:val="en-US" w:eastAsia="zh-CN"/>
              </w:rPr>
              <w:t>2</w:t>
            </w:r>
            <w:r>
              <w:rPr>
                <w:rFonts w:hint="default" w:eastAsia="仿宋" w:cs="Times New Roman"/>
                <w:color w:val="auto"/>
                <w:sz w:val="21"/>
                <w:szCs w:val="21"/>
                <w:highlight w:val="none"/>
                <w:lang w:val="en-US" w:eastAsia="zh-CN"/>
              </w:rPr>
              <w:t>、排水沟319m</w:t>
            </w:r>
            <w:r>
              <w:rPr>
                <w:rFonts w:hint="eastAsia" w:eastAsia="仿宋" w:cs="Times New Roman"/>
                <w:color w:val="auto"/>
                <w:sz w:val="21"/>
                <w:szCs w:val="21"/>
                <w:highlight w:val="none"/>
                <w:lang w:val="en-US" w:eastAsia="zh-CN"/>
              </w:rPr>
              <w:t>；</w:t>
            </w:r>
          </w:p>
          <w:p w14:paraId="029C5D9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施工便道：</w:t>
            </w:r>
            <w:r>
              <w:rPr>
                <w:rFonts w:hint="default" w:eastAsia="仿宋" w:cs="Times New Roman"/>
                <w:color w:val="auto"/>
                <w:sz w:val="21"/>
                <w:szCs w:val="21"/>
                <w:highlight w:val="none"/>
                <w:lang w:val="en-US" w:eastAsia="zh-CN"/>
              </w:rPr>
              <w:t>全面整地</w:t>
            </w:r>
            <w:r>
              <w:rPr>
                <w:rFonts w:hint="eastAsia" w:eastAsia="仿宋" w:cs="Times New Roman"/>
                <w:color w:val="auto"/>
                <w:sz w:val="21"/>
                <w:szCs w:val="21"/>
                <w:highlight w:val="none"/>
                <w:lang w:val="en-US" w:eastAsia="zh-CN"/>
              </w:rPr>
              <w:t>0.02</w:t>
            </w:r>
            <w:r>
              <w:rPr>
                <w:rFonts w:hint="default" w:eastAsia="仿宋" w:cs="Times New Roman"/>
                <w:color w:val="auto"/>
                <w:sz w:val="21"/>
                <w:szCs w:val="21"/>
                <w:highlight w:val="none"/>
                <w:lang w:val="en-US" w:eastAsia="zh-CN"/>
              </w:rPr>
              <w:t>h</w:t>
            </w:r>
            <w:r>
              <w:rPr>
                <w:rFonts w:hint="eastAsia" w:eastAsia="仿宋" w:cs="Times New Roman"/>
                <w:color w:val="auto"/>
                <w:sz w:val="21"/>
                <w:szCs w:val="21"/>
                <w:highlight w:val="none"/>
                <w:lang w:val="en-US" w:eastAsia="zh-CN"/>
              </w:rPr>
              <w:t>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、覆土0.002万m</w:t>
            </w:r>
            <w:r>
              <w:rPr>
                <w:rFonts w:hint="eastAsia" w:eastAsia="仿宋" w:cs="Times New Roman"/>
                <w:color w:val="auto"/>
                <w:sz w:val="21"/>
                <w:szCs w:val="21"/>
                <w:highlight w:val="none"/>
                <w:vertAlign w:val="superscript"/>
                <w:lang w:val="en-US" w:eastAsia="zh-CN"/>
              </w:rPr>
              <w:t>3</w:t>
            </w:r>
            <w:r>
              <w:rPr>
                <w:rFonts w:hint="eastAsia" w:eastAsia="仿宋" w:cs="Times New Roman"/>
                <w:color w:val="auto"/>
                <w:sz w:val="21"/>
                <w:szCs w:val="21"/>
                <w:highlight w:val="none"/>
                <w:lang w:val="en-US" w:eastAsia="zh-CN"/>
              </w:rPr>
              <w:t>。</w:t>
            </w:r>
          </w:p>
        </w:tc>
      </w:tr>
      <w:tr w14:paraId="5BA56D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197" w:type="pct"/>
            <w:vMerge w:val="continue"/>
            <w:tcBorders>
              <w:tl2br w:val="nil"/>
              <w:tr2bl w:val="nil"/>
            </w:tcBorders>
            <w:vAlign w:val="center"/>
          </w:tcPr>
          <w:p w14:paraId="11C7716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4885742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pacing w:val="8"/>
                <w:sz w:val="21"/>
                <w:szCs w:val="21"/>
                <w:highlight w:val="none"/>
              </w:rPr>
              <w:t>植物措施</w:t>
            </w:r>
          </w:p>
        </w:tc>
        <w:tc>
          <w:tcPr>
            <w:tcW w:w="2744" w:type="pct"/>
            <w:gridSpan w:val="4"/>
            <w:tcBorders>
              <w:tl2br w:val="nil"/>
              <w:tr2bl w:val="nil"/>
            </w:tcBorders>
            <w:vAlign w:val="center"/>
          </w:tcPr>
          <w:p w14:paraId="6175DBB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default" w:eastAsia="仿宋" w:cs="Times New Roman"/>
                <w:color w:val="auto"/>
                <w:sz w:val="21"/>
                <w:szCs w:val="21"/>
                <w:highlight w:val="none"/>
                <w:lang w:val="en-US" w:eastAsia="zh-CN"/>
              </w:rPr>
            </w:pPr>
            <w:r>
              <w:rPr>
                <w:rFonts w:hint="default" w:eastAsia="仿宋" w:cs="Times New Roman"/>
                <w:color w:val="auto"/>
                <w:sz w:val="21"/>
                <w:szCs w:val="21"/>
                <w:highlight w:val="none"/>
                <w:lang w:val="en-US" w:eastAsia="zh-CN"/>
              </w:rPr>
              <w:t>主体工程区：景观绿化</w:t>
            </w:r>
            <w:r>
              <w:rPr>
                <w:rFonts w:hint="eastAsia" w:eastAsia="仿宋" w:cs="Times New Roman"/>
                <w:color w:val="auto"/>
                <w:sz w:val="21"/>
                <w:szCs w:val="21"/>
                <w:highlight w:val="none"/>
                <w:lang w:val="en-US" w:eastAsia="zh-CN"/>
              </w:rPr>
              <w:t>0.80hm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w:t>
            </w:r>
          </w:p>
          <w:p w14:paraId="09EE52B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施工便道：撒播狗牙根草籽0.02hm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w:t>
            </w:r>
          </w:p>
          <w:p w14:paraId="7320EE69">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施工生产生活区：临时绿化0.03hm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w:t>
            </w:r>
          </w:p>
        </w:tc>
      </w:tr>
      <w:tr w14:paraId="5D2BC9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197" w:type="pct"/>
            <w:vMerge w:val="continue"/>
            <w:tcBorders>
              <w:tl2br w:val="nil"/>
              <w:tr2bl w:val="nil"/>
            </w:tcBorders>
            <w:vAlign w:val="center"/>
          </w:tcPr>
          <w:p w14:paraId="7D855F7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7DC38FD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pacing w:val="4"/>
                <w:sz w:val="21"/>
                <w:szCs w:val="21"/>
                <w:highlight w:val="none"/>
              </w:rPr>
              <w:t>临时措施</w:t>
            </w:r>
          </w:p>
        </w:tc>
        <w:tc>
          <w:tcPr>
            <w:tcW w:w="2744" w:type="pct"/>
            <w:gridSpan w:val="4"/>
            <w:tcBorders>
              <w:tl2br w:val="nil"/>
              <w:tr2bl w:val="nil"/>
            </w:tcBorders>
            <w:vAlign w:val="center"/>
          </w:tcPr>
          <w:p w14:paraId="3101D61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eastAsia="仿宋" w:cs="Times New Roman"/>
                <w:color w:val="auto"/>
                <w:sz w:val="21"/>
                <w:szCs w:val="21"/>
                <w:highlight w:val="none"/>
                <w:lang w:val="en-US" w:eastAsia="zh-CN"/>
              </w:rPr>
            </w:pPr>
            <w:r>
              <w:rPr>
                <w:rFonts w:hint="default" w:eastAsia="仿宋" w:cs="Times New Roman"/>
                <w:color w:val="auto"/>
                <w:sz w:val="21"/>
                <w:szCs w:val="21"/>
                <w:highlight w:val="none"/>
                <w:lang w:val="en-US" w:eastAsia="zh-CN"/>
              </w:rPr>
              <w:t>主体工程区：排水沟</w:t>
            </w:r>
            <w:r>
              <w:rPr>
                <w:rFonts w:hint="eastAsia" w:eastAsia="仿宋" w:cs="Times New Roman"/>
                <w:color w:val="auto"/>
                <w:sz w:val="21"/>
                <w:szCs w:val="21"/>
                <w:highlight w:val="none"/>
                <w:lang w:val="en-US" w:eastAsia="zh-CN"/>
              </w:rPr>
              <w:t>643.50</w:t>
            </w:r>
            <w:r>
              <w:rPr>
                <w:rFonts w:hint="default" w:eastAsia="仿宋" w:cs="Times New Roman"/>
                <w:color w:val="auto"/>
                <w:sz w:val="21"/>
                <w:szCs w:val="21"/>
                <w:highlight w:val="none"/>
                <w:lang w:val="en-US" w:eastAsia="zh-CN"/>
              </w:rPr>
              <w:t>m</w:t>
            </w:r>
            <w:r>
              <w:rPr>
                <w:rFonts w:hint="eastAsia" w:eastAsia="仿宋" w:cs="Times New Roman"/>
                <w:color w:val="auto"/>
                <w:sz w:val="21"/>
                <w:szCs w:val="21"/>
                <w:highlight w:val="none"/>
                <w:lang w:val="en-US" w:eastAsia="zh-CN"/>
              </w:rPr>
              <w:t>、沉沙池2口、基坑截水沟596m、基坑集水沟562m、集水井14口、泥浆沉淀池20口、苫盖密目网3200m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、洗车池1座</w:t>
            </w:r>
            <w:r>
              <w:rPr>
                <w:rFonts w:hint="default" w:eastAsia="仿宋" w:cs="Times New Roman"/>
                <w:color w:val="auto"/>
                <w:sz w:val="21"/>
                <w:szCs w:val="21"/>
                <w:highlight w:val="none"/>
                <w:lang w:val="en-US" w:eastAsia="zh-CN"/>
              </w:rPr>
              <w:t>；</w:t>
            </w:r>
          </w:p>
          <w:p w14:paraId="487371C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施工便道：</w:t>
            </w:r>
            <w:r>
              <w:rPr>
                <w:rFonts w:hint="default" w:eastAsia="仿宋" w:cs="Times New Roman"/>
                <w:color w:val="auto"/>
                <w:sz w:val="21"/>
                <w:szCs w:val="21"/>
                <w:highlight w:val="none"/>
                <w:lang w:val="en-US" w:eastAsia="zh-CN"/>
              </w:rPr>
              <w:t>排水沟</w:t>
            </w:r>
            <w:r>
              <w:rPr>
                <w:rFonts w:hint="eastAsia" w:eastAsia="仿宋" w:cs="Times New Roman"/>
                <w:color w:val="auto"/>
                <w:sz w:val="21"/>
                <w:szCs w:val="21"/>
                <w:highlight w:val="none"/>
                <w:lang w:val="en-US" w:eastAsia="zh-CN"/>
              </w:rPr>
              <w:t>573</w:t>
            </w:r>
            <w:r>
              <w:rPr>
                <w:rFonts w:hint="default" w:eastAsia="仿宋" w:cs="Times New Roman"/>
                <w:color w:val="auto"/>
                <w:sz w:val="21"/>
                <w:szCs w:val="21"/>
                <w:highlight w:val="none"/>
                <w:lang w:val="en-US" w:eastAsia="zh-CN"/>
              </w:rPr>
              <w:t>m</w:t>
            </w:r>
            <w:r>
              <w:rPr>
                <w:rFonts w:hint="eastAsia" w:eastAsia="仿宋" w:cs="Times New Roman"/>
                <w:color w:val="auto"/>
                <w:sz w:val="21"/>
                <w:szCs w:val="21"/>
                <w:highlight w:val="none"/>
                <w:lang w:val="en-US" w:eastAsia="zh-CN"/>
              </w:rPr>
              <w:t>、沉沙池1口；</w:t>
            </w:r>
          </w:p>
          <w:p w14:paraId="1E7BD85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施工生产生活区：</w:t>
            </w:r>
            <w:r>
              <w:rPr>
                <w:rFonts w:hint="default" w:eastAsia="仿宋" w:cs="Times New Roman"/>
                <w:color w:val="auto"/>
                <w:sz w:val="21"/>
                <w:szCs w:val="21"/>
                <w:highlight w:val="none"/>
                <w:lang w:val="en-US" w:eastAsia="zh-CN"/>
              </w:rPr>
              <w:t>排水沟</w:t>
            </w:r>
            <w:r>
              <w:rPr>
                <w:rFonts w:hint="eastAsia" w:eastAsia="仿宋" w:cs="Times New Roman"/>
                <w:color w:val="auto"/>
                <w:sz w:val="21"/>
                <w:szCs w:val="21"/>
                <w:highlight w:val="none"/>
                <w:lang w:val="en-US" w:eastAsia="zh-CN"/>
              </w:rPr>
              <w:t>166</w:t>
            </w:r>
            <w:r>
              <w:rPr>
                <w:rFonts w:hint="default" w:eastAsia="仿宋" w:cs="Times New Roman"/>
                <w:color w:val="auto"/>
                <w:sz w:val="21"/>
                <w:szCs w:val="21"/>
                <w:highlight w:val="none"/>
                <w:lang w:val="en-US" w:eastAsia="zh-CN"/>
              </w:rPr>
              <w:t>m</w:t>
            </w:r>
            <w:r>
              <w:rPr>
                <w:rFonts w:hint="eastAsia" w:eastAsia="仿宋" w:cs="Times New Roman"/>
                <w:color w:val="auto"/>
                <w:sz w:val="21"/>
                <w:szCs w:val="21"/>
                <w:highlight w:val="none"/>
                <w:lang w:val="en-US" w:eastAsia="zh-CN"/>
              </w:rPr>
              <w:t>、沉沙池1口；</w:t>
            </w:r>
          </w:p>
          <w:p w14:paraId="00C812C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default" w:eastAsia="仿宋" w:cs="Times New Roman"/>
                <w:color w:val="auto"/>
                <w:sz w:val="21"/>
                <w:szCs w:val="21"/>
                <w:highlight w:val="none"/>
                <w:lang w:val="en-US" w:eastAsia="zh-CN"/>
              </w:rPr>
            </w:pPr>
            <w:r>
              <w:rPr>
                <w:rFonts w:hint="eastAsia" w:eastAsia="仿宋" w:cs="Times New Roman"/>
                <w:color w:val="auto"/>
                <w:sz w:val="21"/>
                <w:szCs w:val="21"/>
                <w:highlight w:val="none"/>
                <w:lang w:val="en-US" w:eastAsia="zh-CN"/>
              </w:rPr>
              <w:t>土方临时堆场：苫盖密目网1200m</w:t>
            </w:r>
            <w:r>
              <w:rPr>
                <w:rFonts w:hint="eastAsia" w:eastAsia="仿宋" w:cs="Times New Roman"/>
                <w:color w:val="auto"/>
                <w:sz w:val="21"/>
                <w:szCs w:val="21"/>
                <w:highlight w:val="none"/>
                <w:vertAlign w:val="superscript"/>
                <w:lang w:val="en-US" w:eastAsia="zh-CN"/>
              </w:rPr>
              <w:t>2</w:t>
            </w:r>
            <w:r>
              <w:rPr>
                <w:rFonts w:hint="eastAsia" w:eastAsia="仿宋" w:cs="Times New Roman"/>
                <w:color w:val="auto"/>
                <w:sz w:val="21"/>
                <w:szCs w:val="21"/>
                <w:highlight w:val="none"/>
                <w:lang w:val="en-US" w:eastAsia="zh-CN"/>
              </w:rPr>
              <w:t>。</w:t>
            </w:r>
          </w:p>
        </w:tc>
      </w:tr>
      <w:tr w14:paraId="5F2068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197" w:type="pct"/>
            <w:vMerge w:val="restart"/>
            <w:tcBorders>
              <w:tl2br w:val="nil"/>
              <w:tr2bl w:val="nil"/>
            </w:tcBorders>
            <w:vAlign w:val="center"/>
          </w:tcPr>
          <w:p w14:paraId="068DD61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p w14:paraId="4B0BC4C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工程质量评定</w:t>
            </w:r>
          </w:p>
        </w:tc>
        <w:tc>
          <w:tcPr>
            <w:tcW w:w="1058" w:type="pct"/>
            <w:tcBorders>
              <w:tl2br w:val="nil"/>
              <w:tr2bl w:val="nil"/>
            </w:tcBorders>
            <w:vAlign w:val="center"/>
          </w:tcPr>
          <w:p w14:paraId="3C3165F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评定项目</w:t>
            </w:r>
          </w:p>
        </w:tc>
        <w:tc>
          <w:tcPr>
            <w:tcW w:w="1121" w:type="pct"/>
            <w:gridSpan w:val="2"/>
            <w:tcBorders>
              <w:tl2br w:val="nil"/>
              <w:tr2bl w:val="nil"/>
            </w:tcBorders>
            <w:vAlign w:val="center"/>
          </w:tcPr>
          <w:p w14:paraId="5C6A19E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5"/>
                <w:sz w:val="21"/>
                <w:szCs w:val="21"/>
              </w:rPr>
              <w:t>总体质量评定</w:t>
            </w:r>
          </w:p>
        </w:tc>
        <w:tc>
          <w:tcPr>
            <w:tcW w:w="1623" w:type="pct"/>
            <w:gridSpan w:val="2"/>
            <w:tcBorders>
              <w:tl2br w:val="nil"/>
              <w:tr2bl w:val="nil"/>
            </w:tcBorders>
            <w:vAlign w:val="center"/>
          </w:tcPr>
          <w:p w14:paraId="6F49E21B">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6"/>
                <w:sz w:val="21"/>
                <w:szCs w:val="21"/>
              </w:rPr>
              <w:t>外观质量评定</w:t>
            </w:r>
          </w:p>
        </w:tc>
      </w:tr>
      <w:tr w14:paraId="5623F6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197" w:type="pct"/>
            <w:vMerge w:val="continue"/>
            <w:tcBorders>
              <w:tl2br w:val="nil"/>
              <w:tr2bl w:val="nil"/>
            </w:tcBorders>
            <w:vAlign w:val="center"/>
          </w:tcPr>
          <w:p w14:paraId="5B00421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1B854C03">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工程措施</w:t>
            </w:r>
          </w:p>
        </w:tc>
        <w:tc>
          <w:tcPr>
            <w:tcW w:w="1121" w:type="pct"/>
            <w:gridSpan w:val="2"/>
            <w:tcBorders>
              <w:tl2br w:val="nil"/>
              <w:tr2bl w:val="nil"/>
            </w:tcBorders>
            <w:vAlign w:val="center"/>
          </w:tcPr>
          <w:p w14:paraId="1866A8F9">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c>
          <w:tcPr>
            <w:tcW w:w="1623" w:type="pct"/>
            <w:gridSpan w:val="2"/>
            <w:tcBorders>
              <w:tl2br w:val="nil"/>
              <w:tr2bl w:val="nil"/>
            </w:tcBorders>
            <w:vAlign w:val="center"/>
          </w:tcPr>
          <w:p w14:paraId="2E891E55">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r>
      <w:tr w14:paraId="3F936D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197" w:type="pct"/>
            <w:vMerge w:val="continue"/>
            <w:tcBorders>
              <w:tl2br w:val="nil"/>
              <w:tr2bl w:val="nil"/>
            </w:tcBorders>
            <w:vAlign w:val="center"/>
          </w:tcPr>
          <w:p w14:paraId="271B79E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74F76F8F">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kern w:val="2"/>
                <w:sz w:val="21"/>
                <w:szCs w:val="21"/>
                <w:lang w:val="en-US" w:eastAsia="en-US" w:bidi="ar-SA"/>
              </w:rPr>
            </w:pPr>
            <w:r>
              <w:rPr>
                <w:rFonts w:hint="default" w:ascii="Times New Roman" w:hAnsi="Times New Roman" w:eastAsia="仿宋" w:cs="Times New Roman"/>
                <w:spacing w:val="8"/>
                <w:sz w:val="21"/>
                <w:szCs w:val="21"/>
              </w:rPr>
              <w:t>植物措施</w:t>
            </w:r>
          </w:p>
        </w:tc>
        <w:tc>
          <w:tcPr>
            <w:tcW w:w="1121" w:type="pct"/>
            <w:gridSpan w:val="2"/>
            <w:tcBorders>
              <w:tl2br w:val="nil"/>
              <w:tr2bl w:val="nil"/>
            </w:tcBorders>
            <w:vAlign w:val="center"/>
          </w:tcPr>
          <w:p w14:paraId="6A6A4006">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kern w:val="2"/>
                <w:sz w:val="21"/>
                <w:szCs w:val="21"/>
                <w:lang w:val="en-US" w:eastAsia="en-US" w:bidi="ar-SA"/>
              </w:rPr>
            </w:pPr>
            <w:r>
              <w:rPr>
                <w:rFonts w:hint="default" w:ascii="Times New Roman" w:hAnsi="Times New Roman" w:eastAsia="仿宋" w:cs="Times New Roman"/>
                <w:color w:val="auto"/>
                <w:spacing w:val="3"/>
                <w:sz w:val="21"/>
                <w:szCs w:val="21"/>
              </w:rPr>
              <w:t>合格</w:t>
            </w:r>
          </w:p>
        </w:tc>
        <w:tc>
          <w:tcPr>
            <w:tcW w:w="1623" w:type="pct"/>
            <w:gridSpan w:val="2"/>
            <w:tcBorders>
              <w:tl2br w:val="nil"/>
              <w:tr2bl w:val="nil"/>
            </w:tcBorders>
            <w:vAlign w:val="center"/>
          </w:tcPr>
          <w:p w14:paraId="6839389F">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kern w:val="2"/>
                <w:sz w:val="21"/>
                <w:szCs w:val="21"/>
                <w:lang w:val="en-US" w:eastAsia="en-US" w:bidi="ar-SA"/>
              </w:rPr>
            </w:pPr>
            <w:r>
              <w:rPr>
                <w:rFonts w:hint="default" w:ascii="Times New Roman" w:hAnsi="Times New Roman" w:eastAsia="仿宋" w:cs="Times New Roman"/>
                <w:color w:val="auto"/>
                <w:spacing w:val="3"/>
                <w:sz w:val="21"/>
                <w:szCs w:val="21"/>
              </w:rPr>
              <w:t>合格</w:t>
            </w:r>
          </w:p>
        </w:tc>
      </w:tr>
      <w:tr w14:paraId="10B73B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197" w:type="pct"/>
            <w:vMerge w:val="continue"/>
            <w:tcBorders>
              <w:tl2br w:val="nil"/>
              <w:tr2bl w:val="nil"/>
            </w:tcBorders>
            <w:vAlign w:val="center"/>
          </w:tcPr>
          <w:p w14:paraId="284B104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4640B64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临时措施</w:t>
            </w:r>
          </w:p>
        </w:tc>
        <w:tc>
          <w:tcPr>
            <w:tcW w:w="1121" w:type="pct"/>
            <w:gridSpan w:val="2"/>
            <w:tcBorders>
              <w:tl2br w:val="nil"/>
              <w:tr2bl w:val="nil"/>
            </w:tcBorders>
            <w:vAlign w:val="center"/>
          </w:tcPr>
          <w:p w14:paraId="529AE89D">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c>
          <w:tcPr>
            <w:tcW w:w="1623" w:type="pct"/>
            <w:gridSpan w:val="2"/>
            <w:tcBorders>
              <w:tl2br w:val="nil"/>
              <w:tr2bl w:val="nil"/>
            </w:tcBorders>
            <w:vAlign w:val="center"/>
          </w:tcPr>
          <w:p w14:paraId="2EBA63B5">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合格</w:t>
            </w:r>
          </w:p>
        </w:tc>
      </w:tr>
      <w:tr w14:paraId="6D2AC6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97" w:type="pct"/>
            <w:vMerge w:val="restart"/>
            <w:tcBorders>
              <w:tl2br w:val="nil"/>
              <w:tr2bl w:val="nil"/>
            </w:tcBorders>
            <w:vAlign w:val="center"/>
          </w:tcPr>
          <w:p w14:paraId="1757B52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p w14:paraId="2129BD5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水土保持总投资（万元）</w:t>
            </w:r>
          </w:p>
        </w:tc>
        <w:tc>
          <w:tcPr>
            <w:tcW w:w="1058" w:type="pct"/>
            <w:tcBorders>
              <w:tl2br w:val="nil"/>
              <w:tr2bl w:val="nil"/>
            </w:tcBorders>
            <w:vAlign w:val="center"/>
          </w:tcPr>
          <w:p w14:paraId="1143FD7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水土保持方案投资</w:t>
            </w:r>
          </w:p>
        </w:tc>
        <w:tc>
          <w:tcPr>
            <w:tcW w:w="2744" w:type="pct"/>
            <w:gridSpan w:val="4"/>
            <w:tcBorders>
              <w:tl2br w:val="nil"/>
              <w:tr2bl w:val="nil"/>
            </w:tcBorders>
            <w:vAlign w:val="center"/>
          </w:tcPr>
          <w:p w14:paraId="18C0F10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FF0000"/>
                <w:sz w:val="21"/>
                <w:szCs w:val="21"/>
                <w:highlight w:val="none"/>
                <w:lang w:val="en-US" w:eastAsia="zh-CN"/>
              </w:rPr>
            </w:pPr>
            <w:r>
              <w:rPr>
                <w:rFonts w:hint="eastAsia" w:eastAsia="仿宋" w:cs="Times New Roman"/>
                <w:color w:val="auto"/>
                <w:sz w:val="21"/>
                <w:szCs w:val="21"/>
                <w:highlight w:val="none"/>
                <w:lang w:val="en-US" w:eastAsia="zh-CN"/>
              </w:rPr>
              <w:t>166.2305</w:t>
            </w:r>
          </w:p>
        </w:tc>
      </w:tr>
      <w:tr w14:paraId="5F5BC4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197" w:type="pct"/>
            <w:vMerge w:val="continue"/>
            <w:tcBorders>
              <w:tl2br w:val="nil"/>
              <w:tr2bl w:val="nil"/>
            </w:tcBorders>
            <w:vAlign w:val="center"/>
          </w:tcPr>
          <w:p w14:paraId="7C64EA2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tc>
        <w:tc>
          <w:tcPr>
            <w:tcW w:w="1058" w:type="pct"/>
            <w:tcBorders>
              <w:tl2br w:val="nil"/>
              <w:tr2bl w:val="nil"/>
            </w:tcBorders>
            <w:vAlign w:val="center"/>
          </w:tcPr>
          <w:p w14:paraId="4CD857D8">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实际投资</w:t>
            </w:r>
          </w:p>
        </w:tc>
        <w:tc>
          <w:tcPr>
            <w:tcW w:w="2744" w:type="pct"/>
            <w:gridSpan w:val="4"/>
            <w:tcBorders>
              <w:tl2br w:val="nil"/>
              <w:tr2bl w:val="nil"/>
            </w:tcBorders>
            <w:vAlign w:val="center"/>
          </w:tcPr>
          <w:p w14:paraId="68696BD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FF0000"/>
                <w:sz w:val="21"/>
                <w:szCs w:val="21"/>
                <w:highlight w:val="none"/>
                <w:lang w:val="en-US" w:eastAsia="zh-CN"/>
              </w:rPr>
            </w:pPr>
            <w:r>
              <w:rPr>
                <w:rFonts w:hint="eastAsia" w:eastAsia="仿宋" w:cs="Times New Roman"/>
                <w:color w:val="auto"/>
                <w:sz w:val="21"/>
                <w:szCs w:val="21"/>
                <w:highlight w:val="none"/>
                <w:lang w:val="en-US" w:eastAsia="zh-CN"/>
              </w:rPr>
              <w:t>155.77</w:t>
            </w:r>
          </w:p>
        </w:tc>
      </w:tr>
      <w:tr w14:paraId="4B72F2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1197" w:type="pct"/>
            <w:tcBorders>
              <w:tl2br w:val="nil"/>
              <w:tr2bl w:val="nil"/>
            </w:tcBorders>
            <w:vAlign w:val="center"/>
          </w:tcPr>
          <w:p w14:paraId="5AA537E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p>
          <w:p w14:paraId="2296885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工程总体评价</w:t>
            </w:r>
          </w:p>
        </w:tc>
        <w:tc>
          <w:tcPr>
            <w:tcW w:w="3802" w:type="pct"/>
            <w:gridSpan w:val="5"/>
            <w:tcBorders>
              <w:tl2br w:val="nil"/>
              <w:tr2bl w:val="nil"/>
            </w:tcBorders>
            <w:vAlign w:val="center"/>
          </w:tcPr>
          <w:p w14:paraId="70086D11">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水土保持措施总体布局合理，各项措施按照水土保持</w:t>
            </w:r>
            <w:r>
              <w:rPr>
                <w:rFonts w:hint="default" w:ascii="Times New Roman" w:hAnsi="Times New Roman" w:eastAsia="仿宋" w:cs="Times New Roman"/>
                <w:spacing w:val="9"/>
                <w:sz w:val="21"/>
                <w:szCs w:val="21"/>
              </w:rPr>
              <w:t>法律法规要求落实完成，水</w:t>
            </w:r>
            <w:r>
              <w:rPr>
                <w:rFonts w:hint="default" w:ascii="Times New Roman" w:hAnsi="Times New Roman" w:eastAsia="仿宋" w:cs="Times New Roman"/>
                <w:spacing w:val="10"/>
                <w:sz w:val="21"/>
                <w:szCs w:val="21"/>
              </w:rPr>
              <w:t>土保持设施质量合格，总体达到水土保持设施验收</w:t>
            </w:r>
            <w:r>
              <w:rPr>
                <w:rFonts w:hint="default" w:ascii="Times New Roman" w:hAnsi="Times New Roman" w:eastAsia="仿宋" w:cs="Times New Roman"/>
                <w:spacing w:val="9"/>
                <w:sz w:val="21"/>
                <w:szCs w:val="21"/>
              </w:rPr>
              <w:t>标准；水土保持防治目标已实现，运行期管护责任已落实，具备竣工自主验收</w:t>
            </w:r>
            <w:r>
              <w:rPr>
                <w:rFonts w:hint="default" w:ascii="Times New Roman" w:hAnsi="Times New Roman" w:eastAsia="仿宋" w:cs="Times New Roman"/>
                <w:spacing w:val="8"/>
                <w:sz w:val="21"/>
                <w:szCs w:val="21"/>
              </w:rPr>
              <w:t>条件。</w:t>
            </w:r>
          </w:p>
        </w:tc>
      </w:tr>
      <w:tr w14:paraId="30D280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72" w:hRule="atLeast"/>
        </w:trPr>
        <w:tc>
          <w:tcPr>
            <w:tcW w:w="1197" w:type="pct"/>
            <w:tcBorders>
              <w:tl2br w:val="nil"/>
              <w:tr2bl w:val="nil"/>
            </w:tcBorders>
            <w:vAlign w:val="center"/>
          </w:tcPr>
          <w:p w14:paraId="76BD46AE">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9"/>
                <w:sz w:val="21"/>
                <w:szCs w:val="21"/>
              </w:rPr>
              <w:t>水土保持方案编制单位</w:t>
            </w:r>
          </w:p>
        </w:tc>
        <w:tc>
          <w:tcPr>
            <w:tcW w:w="1058" w:type="pct"/>
            <w:tcBorders>
              <w:tl2br w:val="nil"/>
              <w:tr2bl w:val="nil"/>
            </w:tcBorders>
            <w:vAlign w:val="center"/>
          </w:tcPr>
          <w:p w14:paraId="4A86437D">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福州市勘测院有限公司</w:t>
            </w:r>
          </w:p>
        </w:tc>
        <w:tc>
          <w:tcPr>
            <w:tcW w:w="1121" w:type="pct"/>
            <w:gridSpan w:val="2"/>
            <w:tcBorders>
              <w:tl2br w:val="nil"/>
              <w:tr2bl w:val="nil"/>
            </w:tcBorders>
            <w:vAlign w:val="center"/>
          </w:tcPr>
          <w:p w14:paraId="65AB08C7">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主体工程监理单位</w:t>
            </w:r>
          </w:p>
        </w:tc>
        <w:tc>
          <w:tcPr>
            <w:tcW w:w="1623" w:type="pct"/>
            <w:gridSpan w:val="2"/>
            <w:tcBorders>
              <w:tl2br w:val="nil"/>
              <w:tr2bl w:val="nil"/>
            </w:tcBorders>
            <w:vAlign w:val="center"/>
          </w:tcPr>
          <w:p w14:paraId="7CE32186">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福州市建设工程管理有限公司</w:t>
            </w:r>
          </w:p>
        </w:tc>
      </w:tr>
      <w:tr w14:paraId="1B52A5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72" w:hRule="atLeast"/>
        </w:trPr>
        <w:tc>
          <w:tcPr>
            <w:tcW w:w="1197" w:type="pct"/>
            <w:tcBorders>
              <w:tl2br w:val="nil"/>
              <w:tr2bl w:val="nil"/>
            </w:tcBorders>
            <w:vAlign w:val="center"/>
          </w:tcPr>
          <w:p w14:paraId="48DE6702">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7"/>
                <w:sz w:val="21"/>
                <w:szCs w:val="21"/>
              </w:rPr>
              <w:t>主体工程设计单位</w:t>
            </w:r>
          </w:p>
        </w:tc>
        <w:tc>
          <w:tcPr>
            <w:tcW w:w="1058" w:type="pct"/>
            <w:tcBorders>
              <w:tl2br w:val="nil"/>
              <w:tr2bl w:val="nil"/>
            </w:tcBorders>
            <w:vAlign w:val="center"/>
          </w:tcPr>
          <w:p w14:paraId="2FBE960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福建省二建建设集团有限公司</w:t>
            </w:r>
          </w:p>
        </w:tc>
        <w:tc>
          <w:tcPr>
            <w:tcW w:w="1121" w:type="pct"/>
            <w:gridSpan w:val="2"/>
            <w:tcBorders>
              <w:tl2br w:val="nil"/>
              <w:tr2bl w:val="nil"/>
            </w:tcBorders>
            <w:vAlign w:val="center"/>
          </w:tcPr>
          <w:p w14:paraId="73B8CC1F">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主要施工单位</w:t>
            </w:r>
          </w:p>
        </w:tc>
        <w:tc>
          <w:tcPr>
            <w:tcW w:w="1623" w:type="pct"/>
            <w:gridSpan w:val="2"/>
            <w:tcBorders>
              <w:tl2br w:val="nil"/>
              <w:tr2bl w:val="nil"/>
            </w:tcBorders>
            <w:vAlign w:val="center"/>
          </w:tcPr>
          <w:p w14:paraId="1664E434">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福建省二建建设集团有限公司</w:t>
            </w:r>
          </w:p>
        </w:tc>
      </w:tr>
      <w:tr w14:paraId="188D45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089151FA">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8"/>
                <w:sz w:val="21"/>
                <w:szCs w:val="21"/>
              </w:rPr>
              <w:t>水土保持监测单位</w:t>
            </w:r>
          </w:p>
        </w:tc>
        <w:tc>
          <w:tcPr>
            <w:tcW w:w="1058" w:type="pct"/>
            <w:tcBorders>
              <w:tl2br w:val="nil"/>
              <w:tr2bl w:val="nil"/>
            </w:tcBorders>
            <w:vAlign w:val="center"/>
          </w:tcPr>
          <w:p w14:paraId="0830E54A">
            <w:pPr>
              <w:pStyle w:val="23"/>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eastAsia" w:ascii="Times New Roman" w:hAnsi="Times New Roman" w:eastAsia="仿宋" w:cs="Times New Roman"/>
                <w:color w:val="auto"/>
                <w:spacing w:val="8"/>
                <w:sz w:val="21"/>
                <w:szCs w:val="21"/>
                <w:lang w:val="en-US" w:eastAsia="zh-CN"/>
              </w:rPr>
              <w:t>福州市勘测院有限公司</w:t>
            </w:r>
          </w:p>
        </w:tc>
        <w:tc>
          <w:tcPr>
            <w:tcW w:w="1121" w:type="pct"/>
            <w:gridSpan w:val="2"/>
            <w:tcBorders>
              <w:tl2br w:val="nil"/>
              <w:tr2bl w:val="nil"/>
            </w:tcBorders>
            <w:vAlign w:val="center"/>
          </w:tcPr>
          <w:p w14:paraId="670813B2">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8"/>
                <w:sz w:val="21"/>
                <w:szCs w:val="21"/>
              </w:rPr>
              <w:t>水土保持监理单位</w:t>
            </w:r>
          </w:p>
        </w:tc>
        <w:tc>
          <w:tcPr>
            <w:tcW w:w="1623" w:type="pct"/>
            <w:gridSpan w:val="2"/>
            <w:tcBorders>
              <w:tl2br w:val="nil"/>
              <w:tr2bl w:val="nil"/>
            </w:tcBorders>
            <w:vAlign w:val="center"/>
          </w:tcPr>
          <w:p w14:paraId="1AB94867">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Times New Roman" w:hAnsi="Times New Roman" w:eastAsia="仿宋" w:cs="Times New Roman"/>
                <w:color w:val="auto"/>
                <w:spacing w:val="6"/>
                <w:sz w:val="21"/>
                <w:szCs w:val="21"/>
                <w:lang w:eastAsia="zh-CN"/>
              </w:rPr>
            </w:pPr>
            <w:r>
              <w:rPr>
                <w:rFonts w:hint="eastAsia" w:ascii="Times New Roman" w:hAnsi="Times New Roman" w:eastAsia="仿宋" w:cs="Times New Roman"/>
                <w:color w:val="auto"/>
                <w:spacing w:val="9"/>
                <w:sz w:val="21"/>
                <w:szCs w:val="21"/>
                <w:lang w:val="en-US" w:eastAsia="zh-CN"/>
              </w:rPr>
              <w:t>（纳入主体监理）</w:t>
            </w:r>
          </w:p>
        </w:tc>
      </w:tr>
      <w:tr w14:paraId="3C7D6B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15A3B267">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9"/>
                <w:sz w:val="21"/>
                <w:szCs w:val="21"/>
              </w:rPr>
              <w:t>水土保持验收报告编制</w:t>
            </w:r>
            <w:r>
              <w:rPr>
                <w:rFonts w:hint="default" w:ascii="Times New Roman" w:hAnsi="Times New Roman" w:eastAsia="仿宋" w:cs="Times New Roman"/>
                <w:color w:val="auto"/>
                <w:spacing w:val="2"/>
                <w:sz w:val="21"/>
                <w:szCs w:val="21"/>
              </w:rPr>
              <w:t>单位</w:t>
            </w:r>
          </w:p>
        </w:tc>
        <w:tc>
          <w:tcPr>
            <w:tcW w:w="1058" w:type="pct"/>
            <w:tcBorders>
              <w:tl2br w:val="nil"/>
              <w:tr2bl w:val="nil"/>
            </w:tcBorders>
            <w:vAlign w:val="center"/>
          </w:tcPr>
          <w:p w14:paraId="4CB517F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FF0000"/>
                <w:spacing w:val="6"/>
                <w:sz w:val="21"/>
                <w:szCs w:val="21"/>
                <w:lang w:val="en-US" w:eastAsia="zh-CN"/>
              </w:rPr>
            </w:pPr>
            <w:r>
              <w:rPr>
                <w:rFonts w:hint="eastAsia" w:ascii="Times New Roman" w:hAnsi="Times New Roman" w:eastAsia="仿宋" w:cs="Times New Roman"/>
                <w:color w:val="auto"/>
                <w:spacing w:val="8"/>
                <w:sz w:val="21"/>
                <w:szCs w:val="21"/>
                <w:lang w:val="en-US" w:eastAsia="zh-CN"/>
              </w:rPr>
              <w:t>福州市勘测院有限公司</w:t>
            </w:r>
          </w:p>
        </w:tc>
        <w:tc>
          <w:tcPr>
            <w:tcW w:w="1121" w:type="pct"/>
            <w:gridSpan w:val="2"/>
            <w:tcBorders>
              <w:tl2br w:val="nil"/>
              <w:tr2bl w:val="nil"/>
            </w:tcBorders>
            <w:vAlign w:val="center"/>
          </w:tcPr>
          <w:p w14:paraId="7286F0F9">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7"/>
                <w:sz w:val="21"/>
                <w:szCs w:val="21"/>
              </w:rPr>
              <w:t>建设单位</w:t>
            </w:r>
          </w:p>
        </w:tc>
        <w:tc>
          <w:tcPr>
            <w:tcW w:w="1623" w:type="pct"/>
            <w:gridSpan w:val="2"/>
            <w:tcBorders>
              <w:tl2br w:val="nil"/>
              <w:tr2bl w:val="nil"/>
            </w:tcBorders>
            <w:vAlign w:val="center"/>
          </w:tcPr>
          <w:p w14:paraId="57F1853F">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Times New Roman" w:hAnsi="Times New Roman" w:eastAsia="仿宋" w:cs="Times New Roman"/>
                <w:color w:val="auto"/>
                <w:spacing w:val="6"/>
                <w:sz w:val="21"/>
                <w:szCs w:val="21"/>
                <w:lang w:eastAsia="zh-CN"/>
              </w:rPr>
            </w:pPr>
            <w:r>
              <w:rPr>
                <w:rFonts w:hint="eastAsia" w:ascii="Times New Roman" w:hAnsi="Times New Roman" w:eastAsia="仿宋" w:cs="Times New Roman"/>
                <w:color w:val="auto"/>
                <w:spacing w:val="9"/>
                <w:sz w:val="21"/>
                <w:szCs w:val="21"/>
                <w:lang w:eastAsia="zh-CN"/>
              </w:rPr>
              <w:t>福建省福州延安中学</w:t>
            </w:r>
          </w:p>
        </w:tc>
      </w:tr>
      <w:tr w14:paraId="4481B0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4D480D26">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5"/>
                <w:sz w:val="21"/>
                <w:szCs w:val="21"/>
              </w:rPr>
              <w:t>地址</w:t>
            </w:r>
          </w:p>
        </w:tc>
        <w:tc>
          <w:tcPr>
            <w:tcW w:w="1058" w:type="pct"/>
            <w:tcBorders>
              <w:tl2br w:val="nil"/>
              <w:tr2bl w:val="nil"/>
            </w:tcBorders>
            <w:vAlign w:val="center"/>
          </w:tcPr>
          <w:p w14:paraId="3CCFB4C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auto"/>
                <w:spacing w:val="6"/>
                <w:sz w:val="21"/>
                <w:szCs w:val="21"/>
                <w:lang w:val="en-US" w:eastAsia="zh-CN"/>
              </w:rPr>
            </w:pPr>
            <w:r>
              <w:rPr>
                <w:rFonts w:hint="default" w:eastAsia="仿宋" w:cs="Times New Roman"/>
                <w:color w:val="auto"/>
                <w:spacing w:val="6"/>
                <w:sz w:val="21"/>
                <w:szCs w:val="21"/>
                <w:lang w:val="en-US" w:eastAsia="zh-CN"/>
              </w:rPr>
              <w:t>福州高新区高新大道1号</w:t>
            </w:r>
          </w:p>
        </w:tc>
        <w:tc>
          <w:tcPr>
            <w:tcW w:w="1121" w:type="pct"/>
            <w:gridSpan w:val="2"/>
            <w:tcBorders>
              <w:tl2br w:val="nil"/>
              <w:tr2bl w:val="nil"/>
            </w:tcBorders>
            <w:vAlign w:val="center"/>
          </w:tcPr>
          <w:p w14:paraId="56C824E9">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7"/>
                <w:sz w:val="21"/>
                <w:szCs w:val="21"/>
              </w:rPr>
              <w:t>地址</w:t>
            </w:r>
          </w:p>
        </w:tc>
        <w:tc>
          <w:tcPr>
            <w:tcW w:w="1623" w:type="pct"/>
            <w:gridSpan w:val="2"/>
            <w:tcBorders>
              <w:tl2br w:val="nil"/>
              <w:tr2bl w:val="nil"/>
            </w:tcBorders>
            <w:vAlign w:val="center"/>
          </w:tcPr>
          <w:p w14:paraId="1853AB3A">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lang w:val="en-US"/>
              </w:rPr>
            </w:pPr>
            <w:r>
              <w:rPr>
                <w:rFonts w:hint="default" w:ascii="Times New Roman" w:hAnsi="Times New Roman" w:eastAsia="仿宋" w:cs="Times New Roman"/>
                <w:color w:val="auto"/>
                <w:spacing w:val="7"/>
                <w:sz w:val="21"/>
                <w:szCs w:val="21"/>
                <w:lang w:val="en-US"/>
              </w:rPr>
              <w:t>福州市鼓楼区学院前巷2号</w:t>
            </w:r>
          </w:p>
        </w:tc>
      </w:tr>
      <w:tr w14:paraId="75414C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0002F906">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7"/>
                <w:sz w:val="21"/>
                <w:szCs w:val="21"/>
              </w:rPr>
            </w:pPr>
            <w:r>
              <w:rPr>
                <w:rFonts w:hint="default" w:ascii="Times New Roman" w:hAnsi="Times New Roman" w:eastAsia="仿宋" w:cs="Times New Roman"/>
                <w:color w:val="auto"/>
                <w:spacing w:val="6"/>
                <w:sz w:val="21"/>
                <w:szCs w:val="21"/>
              </w:rPr>
              <w:t>联系人</w:t>
            </w:r>
          </w:p>
        </w:tc>
        <w:tc>
          <w:tcPr>
            <w:tcW w:w="1058" w:type="pct"/>
            <w:tcBorders>
              <w:tl2br w:val="nil"/>
              <w:tr2bl w:val="nil"/>
            </w:tcBorders>
            <w:vAlign w:val="center"/>
          </w:tcPr>
          <w:p w14:paraId="086B1F4A">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eastAsia="仿宋" w:cs="Times New Roman"/>
                <w:color w:val="auto"/>
                <w:spacing w:val="6"/>
                <w:sz w:val="21"/>
                <w:szCs w:val="21"/>
                <w:lang w:val="en-US" w:eastAsia="zh-CN"/>
              </w:rPr>
            </w:pPr>
            <w:r>
              <w:rPr>
                <w:rFonts w:hint="eastAsia" w:eastAsia="仿宋" w:cs="Times New Roman"/>
                <w:color w:val="auto"/>
                <w:spacing w:val="6"/>
                <w:sz w:val="21"/>
                <w:szCs w:val="21"/>
                <w:lang w:val="en-US" w:eastAsia="zh-CN"/>
              </w:rPr>
              <w:t>张岚杰</w:t>
            </w:r>
          </w:p>
        </w:tc>
        <w:tc>
          <w:tcPr>
            <w:tcW w:w="1121" w:type="pct"/>
            <w:gridSpan w:val="2"/>
            <w:tcBorders>
              <w:tl2br w:val="nil"/>
              <w:tr2bl w:val="nil"/>
            </w:tcBorders>
            <w:vAlign w:val="center"/>
          </w:tcPr>
          <w:p w14:paraId="2E4F2C75">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6"/>
                <w:sz w:val="21"/>
                <w:szCs w:val="21"/>
              </w:rPr>
              <w:t>联系人</w:t>
            </w:r>
          </w:p>
        </w:tc>
        <w:tc>
          <w:tcPr>
            <w:tcW w:w="1623" w:type="pct"/>
            <w:gridSpan w:val="2"/>
            <w:tcBorders>
              <w:tl2br w:val="nil"/>
              <w:tr2bl w:val="nil"/>
            </w:tcBorders>
            <w:vAlign w:val="center"/>
          </w:tcPr>
          <w:p w14:paraId="49839D82">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lang w:val="en-US" w:eastAsia="zh-CN"/>
              </w:rPr>
            </w:pPr>
            <w:r>
              <w:rPr>
                <w:rFonts w:hint="eastAsia" w:ascii="Times New Roman" w:hAnsi="Times New Roman" w:eastAsia="仿宋" w:cs="Times New Roman"/>
                <w:color w:val="auto"/>
                <w:spacing w:val="6"/>
                <w:sz w:val="21"/>
                <w:szCs w:val="21"/>
                <w:lang w:val="en-US" w:eastAsia="zh-CN"/>
              </w:rPr>
              <w:t>刘峰</w:t>
            </w:r>
          </w:p>
        </w:tc>
      </w:tr>
      <w:tr w14:paraId="70E94BD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197" w:type="pct"/>
            <w:tcBorders>
              <w:tl2br w:val="nil"/>
              <w:tr2bl w:val="nil"/>
            </w:tcBorders>
            <w:vAlign w:val="center"/>
          </w:tcPr>
          <w:p w14:paraId="01B4435A">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8"/>
                <w:sz w:val="21"/>
                <w:szCs w:val="21"/>
              </w:rPr>
            </w:pPr>
            <w:r>
              <w:rPr>
                <w:rFonts w:hint="default" w:ascii="Times New Roman" w:hAnsi="Times New Roman" w:eastAsia="仿宋" w:cs="Times New Roman"/>
                <w:color w:val="auto"/>
                <w:spacing w:val="-8"/>
                <w:sz w:val="21"/>
                <w:szCs w:val="21"/>
              </w:rPr>
              <w:t>电话</w:t>
            </w:r>
          </w:p>
        </w:tc>
        <w:tc>
          <w:tcPr>
            <w:tcW w:w="1058" w:type="pct"/>
            <w:tcBorders>
              <w:tl2br w:val="nil"/>
              <w:tr2bl w:val="nil"/>
            </w:tcBorders>
            <w:vAlign w:val="center"/>
          </w:tcPr>
          <w:p w14:paraId="286D0F5B">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8"/>
                <w:sz w:val="21"/>
                <w:szCs w:val="21"/>
                <w:lang w:val="en-US" w:eastAsia="zh-CN"/>
              </w:rPr>
            </w:pPr>
            <w:r>
              <w:rPr>
                <w:rFonts w:hint="default" w:ascii="Times New Roman" w:hAnsi="Times New Roman" w:eastAsia="仿宋" w:cs="Times New Roman"/>
                <w:color w:val="auto"/>
                <w:spacing w:val="-8"/>
                <w:sz w:val="21"/>
                <w:szCs w:val="21"/>
                <w:lang w:val="en-US" w:eastAsia="zh-CN"/>
              </w:rPr>
              <w:t>15705900809</w:t>
            </w:r>
          </w:p>
        </w:tc>
        <w:tc>
          <w:tcPr>
            <w:tcW w:w="1121" w:type="pct"/>
            <w:gridSpan w:val="2"/>
            <w:tcBorders>
              <w:tl2br w:val="nil"/>
              <w:tr2bl w:val="nil"/>
            </w:tcBorders>
            <w:vAlign w:val="center"/>
          </w:tcPr>
          <w:p w14:paraId="6DCDF3D0">
            <w:pPr>
              <w:pStyle w:val="23"/>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rPr>
            </w:pPr>
            <w:r>
              <w:rPr>
                <w:rFonts w:hint="default" w:ascii="Times New Roman" w:hAnsi="Times New Roman" w:eastAsia="仿宋" w:cs="Times New Roman"/>
                <w:color w:val="auto"/>
                <w:spacing w:val="-8"/>
                <w:sz w:val="21"/>
                <w:szCs w:val="21"/>
              </w:rPr>
              <w:t>电话</w:t>
            </w:r>
          </w:p>
        </w:tc>
        <w:tc>
          <w:tcPr>
            <w:tcW w:w="1623" w:type="pct"/>
            <w:gridSpan w:val="2"/>
            <w:tcBorders>
              <w:tl2br w:val="nil"/>
              <w:tr2bl w:val="nil"/>
            </w:tcBorders>
            <w:vAlign w:val="center"/>
          </w:tcPr>
          <w:p w14:paraId="0D811637">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仿宋" w:cs="Times New Roman"/>
                <w:color w:val="auto"/>
                <w:spacing w:val="6"/>
                <w:sz w:val="21"/>
                <w:szCs w:val="21"/>
                <w:lang w:val="en-US" w:eastAsia="zh-CN"/>
              </w:rPr>
            </w:pPr>
            <w:r>
              <w:rPr>
                <w:rFonts w:hint="eastAsia" w:eastAsia="仿宋" w:cs="Times New Roman"/>
                <w:color w:val="auto"/>
                <w:spacing w:val="6"/>
                <w:sz w:val="21"/>
                <w:szCs w:val="21"/>
                <w:lang w:val="en-US" w:eastAsia="zh-CN"/>
              </w:rPr>
              <w:t>13107695065</w:t>
            </w:r>
          </w:p>
        </w:tc>
      </w:tr>
    </w:tbl>
    <w:p w14:paraId="60E79272">
      <w:pPr>
        <w:jc w:val="left"/>
        <w:sectPr>
          <w:headerReference r:id="rId9" w:type="default"/>
          <w:headerReference r:id="rId10" w:type="even"/>
          <w:pgSz w:w="11849" w:h="16781"/>
          <w:pgMar w:top="1417" w:right="1417" w:bottom="1417" w:left="1417" w:header="567" w:footer="964" w:gutter="283"/>
          <w:pgBorders>
            <w:top w:val="none" w:sz="0" w:space="0"/>
            <w:left w:val="none" w:sz="0" w:space="0"/>
            <w:bottom w:val="single" w:color="auto" w:sz="4" w:space="1"/>
            <w:right w:val="none" w:sz="0" w:space="0"/>
          </w:pgBorders>
          <w:pgNumType w:fmt="upperRoman"/>
          <w:cols w:space="0" w:num="1"/>
          <w:docGrid w:type="lines" w:linePitch="398" w:charSpace="0"/>
        </w:sectPr>
      </w:pPr>
    </w:p>
    <w:bookmarkEnd w:id="2"/>
    <w:bookmarkEnd w:id="3"/>
    <w:bookmarkEnd w:id="4"/>
    <w:bookmarkEnd w:id="5"/>
    <w:p w14:paraId="4D367C31">
      <w:pPr>
        <w:pStyle w:val="2"/>
        <w:widowControl/>
        <w:adjustRightInd w:val="0"/>
        <w:snapToGrid w:val="0"/>
        <w:spacing w:line="480" w:lineRule="auto"/>
        <w:ind w:firstLine="723"/>
        <w:rPr>
          <w:rFonts w:eastAsia="仿宋"/>
          <w:color w:val="auto"/>
          <w:szCs w:val="22"/>
        </w:rPr>
      </w:pPr>
      <w:bookmarkStart w:id="9" w:name="_Toc1810"/>
      <w:r>
        <w:rPr>
          <w:rFonts w:eastAsia="仿宋"/>
          <w:color w:val="auto"/>
          <w:szCs w:val="22"/>
        </w:rPr>
        <w:t>1 项目及项目区概况</w:t>
      </w:r>
      <w:bookmarkEnd w:id="9"/>
    </w:p>
    <w:p w14:paraId="411C4F6E">
      <w:pPr>
        <w:pStyle w:val="3"/>
        <w:widowControl/>
        <w:rPr>
          <w:rFonts w:eastAsia="仿宋"/>
          <w:color w:val="auto"/>
          <w:kern w:val="0"/>
          <w:szCs w:val="30"/>
        </w:rPr>
      </w:pPr>
      <w:bookmarkStart w:id="10" w:name="_Toc10840"/>
      <w:r>
        <w:rPr>
          <w:rFonts w:eastAsia="仿宋"/>
          <w:color w:val="auto"/>
          <w:kern w:val="0"/>
          <w:szCs w:val="30"/>
        </w:rPr>
        <w:t>1.1项目概况</w:t>
      </w:r>
      <w:bookmarkEnd w:id="10"/>
    </w:p>
    <w:p w14:paraId="1110EC75">
      <w:pPr>
        <w:pStyle w:val="4"/>
        <w:widowControl/>
        <w:rPr>
          <w:rFonts w:eastAsia="仿宋"/>
          <w:color w:val="auto"/>
          <w:kern w:val="0"/>
        </w:rPr>
      </w:pPr>
      <w:r>
        <w:rPr>
          <w:rFonts w:eastAsia="仿宋"/>
          <w:color w:val="auto"/>
          <w:kern w:val="0"/>
        </w:rPr>
        <w:t>1.1.1地理位置</w:t>
      </w:r>
    </w:p>
    <w:p w14:paraId="4886FAA3">
      <w:pPr>
        <w:spacing w:line="360" w:lineRule="auto"/>
        <w:jc w:val="both"/>
        <w:rPr>
          <w:rFonts w:hint="default" w:ascii="Times New Roman" w:hAnsi="Times New Roman" w:eastAsia="仿宋" w:cs="Times New Roman"/>
          <w:color w:val="auto"/>
          <w:sz w:val="28"/>
          <w:szCs w:val="28"/>
        </w:rPr>
      </w:pPr>
      <w:r>
        <w:rPr>
          <w:rFonts w:hint="eastAsia" w:eastAsia="仿宋" w:cs="Times New Roman"/>
          <w:color w:val="auto"/>
          <w:sz w:val="28"/>
          <w:szCs w:val="28"/>
          <w:lang w:eastAsia="zh-CN"/>
        </w:rPr>
        <w:t>福州市延安中学教育集团国福校区位于福建省福州市鼓楼区五凤街道。项目中心坐标：东经</w:t>
      </w:r>
      <w:r>
        <w:rPr>
          <w:rFonts w:hint="default" w:ascii="Times New Roman" w:hAnsi="Times New Roman" w:eastAsia="仿宋" w:cs="Times New Roman"/>
          <w:color w:val="auto"/>
          <w:sz w:val="28"/>
          <w:szCs w:val="28"/>
          <w:lang w:eastAsia="zh-CN"/>
        </w:rPr>
        <w:t>119°29’30.2194”，北纬：26°11’20.9385”。</w:t>
      </w:r>
    </w:p>
    <w:p w14:paraId="001467A6">
      <w:pPr>
        <w:pStyle w:val="4"/>
        <w:widowControl/>
        <w:rPr>
          <w:rFonts w:eastAsia="仿宋"/>
          <w:color w:val="auto"/>
          <w:kern w:val="0"/>
        </w:rPr>
      </w:pPr>
      <w:r>
        <w:rPr>
          <w:rFonts w:eastAsia="仿宋"/>
          <w:color w:val="auto"/>
          <w:kern w:val="0"/>
        </w:rPr>
        <w:t>1.1.2主要技术指标</w:t>
      </w:r>
    </w:p>
    <w:p w14:paraId="1B2E86CF">
      <w:pPr>
        <w:ind w:firstLine="560"/>
        <w:rPr>
          <w:rFonts w:hint="default" w:ascii="Times New Roman" w:hAnsi="Times New Roman" w:eastAsia="仿宋" w:cs="Times New Roman"/>
          <w:color w:val="auto"/>
          <w:kern w:val="0"/>
          <w:szCs w:val="28"/>
        </w:rPr>
      </w:pPr>
      <w:r>
        <w:rPr>
          <w:rFonts w:hint="default" w:ascii="Times New Roman" w:hAnsi="Times New Roman" w:eastAsia="仿宋" w:cs="Times New Roman"/>
          <w:color w:val="auto"/>
          <w:kern w:val="0"/>
          <w:szCs w:val="28"/>
        </w:rPr>
        <w:t>项目征地面积26505</w:t>
      </w:r>
      <w:r>
        <w:rPr>
          <w:rFonts w:hint="eastAsia" w:ascii="Times New Roman" w:hAnsi="Times New Roman" w:eastAsia="仿宋" w:cs="Times New Roman"/>
          <w:color w:val="auto"/>
          <w:kern w:val="0"/>
          <w:szCs w:val="28"/>
          <w:lang w:eastAsia="zh-CN"/>
        </w:rPr>
        <w:t>m</w:t>
      </w:r>
      <w:r>
        <w:rPr>
          <w:rFonts w:hint="eastAsia" w:ascii="Times New Roman" w:hAnsi="Times New Roman" w:eastAsia="仿宋" w:cs="Times New Roman"/>
          <w:color w:val="auto"/>
          <w:kern w:val="0"/>
          <w:szCs w:val="28"/>
          <w:vertAlign w:val="superscript"/>
          <w:lang w:eastAsia="zh-CN"/>
        </w:rPr>
        <w:t>2</w:t>
      </w:r>
      <w:r>
        <w:rPr>
          <w:rFonts w:hint="default" w:ascii="Times New Roman" w:hAnsi="Times New Roman" w:eastAsia="仿宋" w:cs="Times New Roman"/>
          <w:color w:val="auto"/>
          <w:kern w:val="0"/>
          <w:szCs w:val="28"/>
        </w:rPr>
        <w:t>，总建筑面积49757.50</w:t>
      </w:r>
      <w:r>
        <w:rPr>
          <w:rFonts w:hint="eastAsia" w:ascii="Times New Roman" w:hAnsi="Times New Roman" w:eastAsia="仿宋" w:cs="Times New Roman"/>
          <w:color w:val="auto"/>
          <w:kern w:val="0"/>
          <w:szCs w:val="28"/>
          <w:lang w:eastAsia="zh-CN"/>
        </w:rPr>
        <w:t>m</w:t>
      </w:r>
      <w:r>
        <w:rPr>
          <w:rFonts w:hint="eastAsia" w:ascii="Times New Roman" w:hAnsi="Times New Roman" w:eastAsia="仿宋" w:cs="Times New Roman"/>
          <w:color w:val="auto"/>
          <w:kern w:val="0"/>
          <w:szCs w:val="28"/>
          <w:vertAlign w:val="superscript"/>
          <w:lang w:eastAsia="zh-CN"/>
        </w:rPr>
        <w:t>2</w:t>
      </w:r>
      <w:r>
        <w:rPr>
          <w:rFonts w:hint="default" w:ascii="Times New Roman" w:hAnsi="Times New Roman" w:eastAsia="仿宋" w:cs="Times New Roman"/>
          <w:color w:val="auto"/>
          <w:kern w:val="0"/>
          <w:szCs w:val="28"/>
        </w:rPr>
        <w:t>，</w:t>
      </w:r>
      <w:r>
        <w:rPr>
          <w:rFonts w:hint="eastAsia" w:ascii="Times New Roman" w:hAnsi="Times New Roman" w:eastAsia="仿宋" w:cs="Times New Roman"/>
          <w:color w:val="auto"/>
          <w:kern w:val="0"/>
          <w:szCs w:val="28"/>
          <w:lang w:val="en-US" w:eastAsia="zh-CN"/>
        </w:rPr>
        <w:t>规划45个班，容纳学生2250人。</w:t>
      </w:r>
      <w:r>
        <w:rPr>
          <w:rFonts w:hint="default" w:ascii="Times New Roman" w:hAnsi="Times New Roman" w:eastAsia="仿宋" w:cs="Times New Roman"/>
          <w:color w:val="auto"/>
          <w:kern w:val="0"/>
          <w:szCs w:val="28"/>
        </w:rPr>
        <w:t>其中计容建筑面积39757.50</w:t>
      </w:r>
      <w:r>
        <w:rPr>
          <w:rFonts w:hint="eastAsia" w:ascii="Times New Roman" w:hAnsi="Times New Roman" w:eastAsia="仿宋" w:cs="Times New Roman"/>
          <w:color w:val="auto"/>
          <w:kern w:val="0"/>
          <w:szCs w:val="28"/>
          <w:lang w:eastAsia="zh-CN"/>
        </w:rPr>
        <w:t>m</w:t>
      </w:r>
      <w:r>
        <w:rPr>
          <w:rFonts w:hint="eastAsia" w:ascii="Times New Roman" w:hAnsi="Times New Roman" w:eastAsia="仿宋" w:cs="Times New Roman"/>
          <w:color w:val="auto"/>
          <w:kern w:val="0"/>
          <w:szCs w:val="28"/>
          <w:vertAlign w:val="superscript"/>
          <w:lang w:eastAsia="zh-CN"/>
        </w:rPr>
        <w:t>2</w:t>
      </w:r>
      <w:r>
        <w:rPr>
          <w:rFonts w:hint="default" w:ascii="Times New Roman" w:hAnsi="Times New Roman" w:eastAsia="仿宋" w:cs="Times New Roman"/>
          <w:color w:val="auto"/>
          <w:kern w:val="0"/>
          <w:szCs w:val="28"/>
        </w:rPr>
        <w:t>，不计容建筑面积10000.00</w:t>
      </w:r>
      <w:r>
        <w:rPr>
          <w:rFonts w:hint="eastAsia" w:ascii="Times New Roman" w:hAnsi="Times New Roman" w:eastAsia="仿宋" w:cs="Times New Roman"/>
          <w:color w:val="auto"/>
          <w:kern w:val="0"/>
          <w:szCs w:val="28"/>
          <w:lang w:eastAsia="zh-CN"/>
        </w:rPr>
        <w:t>m</w:t>
      </w:r>
      <w:r>
        <w:rPr>
          <w:rFonts w:hint="eastAsia" w:ascii="Times New Roman" w:hAnsi="Times New Roman" w:eastAsia="仿宋" w:cs="Times New Roman"/>
          <w:color w:val="auto"/>
          <w:kern w:val="0"/>
          <w:szCs w:val="28"/>
          <w:vertAlign w:val="superscript"/>
          <w:lang w:eastAsia="zh-CN"/>
        </w:rPr>
        <w:t>2</w:t>
      </w:r>
      <w:r>
        <w:rPr>
          <w:rFonts w:hint="default" w:ascii="Times New Roman" w:hAnsi="Times New Roman" w:eastAsia="仿宋" w:cs="Times New Roman"/>
          <w:color w:val="auto"/>
          <w:kern w:val="0"/>
          <w:szCs w:val="28"/>
        </w:rPr>
        <w:t>，容积率为1.50；建筑占地面积 9276.75</w:t>
      </w:r>
      <w:r>
        <w:rPr>
          <w:rFonts w:hint="eastAsia" w:ascii="Times New Roman" w:hAnsi="Times New Roman" w:eastAsia="仿宋" w:cs="Times New Roman"/>
          <w:color w:val="auto"/>
          <w:kern w:val="0"/>
          <w:szCs w:val="28"/>
          <w:lang w:eastAsia="zh-CN"/>
        </w:rPr>
        <w:t>m</w:t>
      </w:r>
      <w:r>
        <w:rPr>
          <w:rFonts w:hint="eastAsia" w:ascii="Times New Roman" w:hAnsi="Times New Roman" w:eastAsia="仿宋" w:cs="Times New Roman"/>
          <w:color w:val="auto"/>
          <w:kern w:val="0"/>
          <w:szCs w:val="28"/>
          <w:vertAlign w:val="superscript"/>
          <w:lang w:eastAsia="zh-CN"/>
        </w:rPr>
        <w:t>2</w:t>
      </w:r>
      <w:r>
        <w:rPr>
          <w:rFonts w:hint="default" w:ascii="Times New Roman" w:hAnsi="Times New Roman" w:eastAsia="仿宋" w:cs="Times New Roman"/>
          <w:color w:val="auto"/>
          <w:kern w:val="0"/>
          <w:szCs w:val="28"/>
        </w:rPr>
        <w:t>，建筑密度35%；绿地面积7951.50</w:t>
      </w:r>
      <w:r>
        <w:rPr>
          <w:rFonts w:hint="eastAsia" w:ascii="Times New Roman" w:hAnsi="Times New Roman" w:eastAsia="仿宋" w:cs="Times New Roman"/>
          <w:color w:val="auto"/>
          <w:kern w:val="0"/>
          <w:szCs w:val="28"/>
          <w:lang w:eastAsia="zh-CN"/>
        </w:rPr>
        <w:t>m</w:t>
      </w:r>
      <w:r>
        <w:rPr>
          <w:rFonts w:hint="eastAsia" w:ascii="Times New Roman" w:hAnsi="Times New Roman" w:eastAsia="仿宋" w:cs="Times New Roman"/>
          <w:color w:val="auto"/>
          <w:kern w:val="0"/>
          <w:szCs w:val="28"/>
          <w:vertAlign w:val="superscript"/>
          <w:lang w:eastAsia="zh-CN"/>
        </w:rPr>
        <w:t>2</w:t>
      </w:r>
      <w:r>
        <w:rPr>
          <w:rFonts w:hint="default" w:ascii="Times New Roman" w:hAnsi="Times New Roman" w:eastAsia="仿宋" w:cs="Times New Roman"/>
          <w:color w:val="auto"/>
          <w:kern w:val="0"/>
          <w:szCs w:val="28"/>
        </w:rPr>
        <w:t>，绿地率为30%。</w:t>
      </w:r>
    </w:p>
    <w:p w14:paraId="438C455D">
      <w:pPr>
        <w:ind w:firstLine="560"/>
        <w:rPr>
          <w:rFonts w:hint="eastAsia"/>
          <w:color w:val="auto"/>
        </w:rPr>
      </w:pPr>
      <w:r>
        <w:rPr>
          <w:rFonts w:hint="eastAsia"/>
          <w:color w:val="auto"/>
          <w:lang w:val="en-US" w:eastAsia="zh-CN"/>
        </w:rPr>
        <w:t>建设内容：</w:t>
      </w:r>
      <w:r>
        <w:rPr>
          <w:rFonts w:hint="eastAsia"/>
          <w:color w:val="auto"/>
        </w:rPr>
        <w:t>新建1栋5层党建楼，1栋4层实验楼，1栋6层教学楼，1栋6层办公楼，1栋5层艺术楼、1栋6层宿舍楼和连廊，操场，校区消防通道及地面停车位，校区绿化，管线工程等。于办公楼、艺术楼、宿舍和操场下设有1处1~2层地下室，地下室占地共计1.15hm</w:t>
      </w:r>
      <w:r>
        <w:rPr>
          <w:rFonts w:hint="eastAsia"/>
          <w:color w:val="auto"/>
          <w:vertAlign w:val="superscript"/>
        </w:rPr>
        <w:t>2</w:t>
      </w:r>
      <w:r>
        <w:rPr>
          <w:rFonts w:hint="eastAsia"/>
          <w:color w:val="auto"/>
        </w:rPr>
        <w:t>，一层地下室层高3.6m；二层地下室位于操场下，面积0.61hm</w:t>
      </w:r>
      <w:r>
        <w:rPr>
          <w:rFonts w:hint="eastAsia"/>
          <w:color w:val="auto"/>
          <w:vertAlign w:val="superscript"/>
        </w:rPr>
        <w:t>2</w:t>
      </w:r>
      <w:r>
        <w:rPr>
          <w:rFonts w:hint="eastAsia"/>
          <w:color w:val="auto"/>
          <w:lang w:eastAsia="zh-CN"/>
        </w:rPr>
        <w:t>，</w:t>
      </w:r>
      <w:r>
        <w:rPr>
          <w:rFonts w:hint="eastAsia"/>
          <w:color w:val="auto"/>
        </w:rPr>
        <w:t>两层地下室总高6.9m。</w:t>
      </w:r>
    </w:p>
    <w:p w14:paraId="54611074">
      <w:pPr>
        <w:pStyle w:val="4"/>
        <w:widowControl/>
        <w:rPr>
          <w:rFonts w:eastAsia="仿宋"/>
          <w:color w:val="auto"/>
          <w:kern w:val="0"/>
        </w:rPr>
      </w:pPr>
      <w:r>
        <w:rPr>
          <w:rFonts w:eastAsia="仿宋"/>
          <w:color w:val="auto"/>
          <w:kern w:val="0"/>
        </w:rPr>
        <w:t>1.1.3工程投资</w:t>
      </w:r>
    </w:p>
    <w:p w14:paraId="0A586B5B">
      <w:pPr>
        <w:ind w:firstLine="560"/>
        <w:rPr>
          <w:color w:val="auto"/>
        </w:rPr>
      </w:pPr>
      <w:bookmarkStart w:id="11" w:name="_Toc23957"/>
      <w:r>
        <w:rPr>
          <w:color w:val="auto"/>
        </w:rPr>
        <w:t>项目</w:t>
      </w:r>
      <w:r>
        <w:rPr>
          <w:rFonts w:hint="eastAsia"/>
          <w:color w:val="auto"/>
        </w:rPr>
        <w:t>实际</w:t>
      </w:r>
      <w:r>
        <w:rPr>
          <w:color w:val="auto"/>
        </w:rPr>
        <w:t>总投资</w:t>
      </w:r>
      <w:r>
        <w:rPr>
          <w:rFonts w:hint="eastAsia"/>
          <w:color w:val="auto"/>
          <w:lang w:val="en-US" w:eastAsia="zh-CN"/>
        </w:rPr>
        <w:t>43113.60万元（未决算），其中土建投资28746.02万元（未决算），资金来源由PPP模式统筹解决。</w:t>
      </w:r>
    </w:p>
    <w:p w14:paraId="070F09F9">
      <w:pPr>
        <w:pStyle w:val="4"/>
        <w:widowControl/>
        <w:rPr>
          <w:rFonts w:eastAsia="仿宋"/>
          <w:color w:val="auto"/>
          <w:kern w:val="0"/>
          <w:szCs w:val="28"/>
          <w:highlight w:val="none"/>
        </w:rPr>
      </w:pPr>
      <w:r>
        <w:rPr>
          <w:rFonts w:eastAsia="仿宋"/>
          <w:color w:val="auto"/>
          <w:szCs w:val="28"/>
          <w:highlight w:val="none"/>
        </w:rPr>
        <w:t>1.1.4项目组成及布置</w:t>
      </w:r>
      <w:bookmarkEnd w:id="11"/>
    </w:p>
    <w:p w14:paraId="7EEBFB74">
      <w:pPr>
        <w:adjustRightInd w:val="0"/>
        <w:snapToGrid w:val="0"/>
        <w:ind w:firstLine="540"/>
        <w:rPr>
          <w:rFonts w:eastAsia="仿宋"/>
          <w:bCs/>
          <w:color w:val="auto"/>
          <w:szCs w:val="28"/>
        </w:rPr>
      </w:pPr>
      <w:r>
        <w:rPr>
          <w:rFonts w:hint="eastAsia" w:eastAsia="仿宋"/>
          <w:color w:val="auto"/>
          <w:spacing w:val="-5"/>
          <w:szCs w:val="28"/>
          <w:lang w:eastAsia="zh-CN"/>
        </w:rPr>
        <w:t>福州市延安中学教育集团国福校区</w:t>
      </w:r>
      <w:r>
        <w:rPr>
          <w:rFonts w:eastAsia="仿宋"/>
          <w:color w:val="auto"/>
          <w:spacing w:val="-5"/>
          <w:szCs w:val="28"/>
        </w:rPr>
        <w:t>由主体工程区</w:t>
      </w:r>
      <w:r>
        <w:rPr>
          <w:rFonts w:hint="eastAsia" w:eastAsia="仿宋"/>
          <w:color w:val="auto"/>
          <w:spacing w:val="-5"/>
          <w:szCs w:val="28"/>
        </w:rPr>
        <w:t>、</w:t>
      </w:r>
      <w:r>
        <w:rPr>
          <w:rFonts w:hint="eastAsia" w:eastAsia="仿宋"/>
          <w:color w:val="auto"/>
          <w:spacing w:val="-5"/>
          <w:szCs w:val="28"/>
          <w:lang w:eastAsia="zh-CN"/>
        </w:rPr>
        <w:t>施工生产生活区、</w:t>
      </w:r>
      <w:r>
        <w:rPr>
          <w:rFonts w:hint="eastAsia" w:eastAsia="仿宋"/>
          <w:color w:val="auto"/>
          <w:spacing w:val="-5"/>
          <w:szCs w:val="28"/>
          <w:lang w:val="en-US" w:eastAsia="zh-CN"/>
        </w:rPr>
        <w:t>施工便道及</w:t>
      </w:r>
      <w:r>
        <w:rPr>
          <w:rFonts w:hint="eastAsia" w:eastAsia="仿宋"/>
          <w:color w:val="auto"/>
          <w:spacing w:val="-5"/>
          <w:szCs w:val="28"/>
          <w:lang w:eastAsia="zh-CN"/>
        </w:rPr>
        <w:t>土方临时堆场</w:t>
      </w:r>
      <w:r>
        <w:rPr>
          <w:rFonts w:eastAsia="仿宋"/>
          <w:color w:val="auto"/>
          <w:spacing w:val="-5"/>
          <w:szCs w:val="28"/>
        </w:rPr>
        <w:t>等组成。</w:t>
      </w:r>
    </w:p>
    <w:p w14:paraId="27FD59D8">
      <w:pPr>
        <w:adjustRightInd w:val="0"/>
        <w:snapToGrid w:val="0"/>
        <w:ind w:firstLine="560"/>
        <w:rPr>
          <w:b/>
          <w:color w:val="auto"/>
          <w:szCs w:val="28"/>
        </w:rPr>
      </w:pPr>
      <w:r>
        <w:rPr>
          <w:rFonts w:eastAsia="仿宋"/>
          <w:bCs/>
          <w:color w:val="auto"/>
          <w:szCs w:val="28"/>
        </w:rPr>
        <w:t>本项目组成包含永久工程和临时工程，永久工程由地面工程和地下工程组成，临时工程为</w:t>
      </w:r>
      <w:r>
        <w:rPr>
          <w:rFonts w:hint="eastAsia" w:eastAsia="仿宋"/>
          <w:bCs/>
          <w:color w:val="auto"/>
          <w:szCs w:val="28"/>
          <w:lang w:eastAsia="zh-CN"/>
        </w:rPr>
        <w:t>施工生产生活区、</w:t>
      </w:r>
      <w:r>
        <w:rPr>
          <w:rFonts w:hint="eastAsia" w:eastAsia="仿宋"/>
          <w:bCs/>
          <w:color w:val="auto"/>
          <w:szCs w:val="28"/>
          <w:lang w:val="en-US" w:eastAsia="zh-CN"/>
        </w:rPr>
        <w:t>施工便道及</w:t>
      </w:r>
      <w:r>
        <w:rPr>
          <w:rFonts w:hint="eastAsia" w:eastAsia="仿宋"/>
          <w:bCs/>
          <w:color w:val="auto"/>
          <w:szCs w:val="28"/>
          <w:lang w:eastAsia="zh-CN"/>
        </w:rPr>
        <w:t>土方临时堆场</w:t>
      </w:r>
      <w:r>
        <w:rPr>
          <w:rFonts w:eastAsia="仿宋"/>
          <w:bCs/>
          <w:color w:val="auto"/>
          <w:szCs w:val="28"/>
        </w:rPr>
        <w:t>。地面工程主要为地面建筑、道路工程、绿化工程三部分组成；地下工程主要为综合管线工程、地下室。</w:t>
      </w:r>
      <w:bookmarkStart w:id="12" w:name="_Toc19706"/>
      <w:bookmarkStart w:id="13" w:name="_Toc25678"/>
    </w:p>
    <w:p w14:paraId="0C1CB6F2">
      <w:pPr>
        <w:adjustRightInd w:val="0"/>
        <w:snapToGrid w:val="0"/>
        <w:ind w:firstLine="0" w:firstLineChars="0"/>
        <w:rPr>
          <w:b/>
          <w:color w:val="auto"/>
          <w:szCs w:val="28"/>
        </w:rPr>
      </w:pPr>
      <w:r>
        <w:rPr>
          <w:rFonts w:hint="eastAsia"/>
          <w:b/>
          <w:color w:val="auto"/>
          <w:szCs w:val="28"/>
          <w:lang w:val="en-US" w:eastAsia="zh-CN"/>
        </w:rPr>
        <w:t>1</w:t>
      </w:r>
      <w:r>
        <w:rPr>
          <w:b/>
          <w:color w:val="auto"/>
          <w:szCs w:val="28"/>
        </w:rPr>
        <w:t>.1.4.1主体工程区</w:t>
      </w:r>
    </w:p>
    <w:p w14:paraId="2539CA20">
      <w:pPr>
        <w:ind w:firstLine="560"/>
        <w:rPr>
          <w:rFonts w:hint="eastAsia"/>
          <w:bCs/>
          <w:color w:val="auto"/>
          <w:szCs w:val="28"/>
        </w:rPr>
      </w:pPr>
      <w:r>
        <w:rPr>
          <w:rFonts w:hint="eastAsia"/>
          <w:bCs/>
          <w:color w:val="auto"/>
          <w:szCs w:val="28"/>
        </w:rPr>
        <w:t>本项目</w:t>
      </w:r>
      <w:r>
        <w:rPr>
          <w:rFonts w:hint="eastAsia"/>
          <w:bCs/>
          <w:color w:val="auto"/>
          <w:szCs w:val="28"/>
          <w:lang w:val="en-US" w:eastAsia="zh-CN"/>
        </w:rPr>
        <w:t>建设内容</w:t>
      </w:r>
      <w:r>
        <w:rPr>
          <w:rFonts w:hint="eastAsia"/>
          <w:bCs/>
          <w:color w:val="auto"/>
          <w:szCs w:val="28"/>
        </w:rPr>
        <w:t>包括</w:t>
      </w:r>
      <w:r>
        <w:rPr>
          <w:rFonts w:hint="eastAsia"/>
          <w:bCs/>
          <w:color w:val="auto"/>
          <w:szCs w:val="28"/>
          <w:lang w:val="en-US" w:eastAsia="zh-CN"/>
        </w:rPr>
        <w:t>1</w:t>
      </w:r>
      <w:r>
        <w:rPr>
          <w:rFonts w:hint="eastAsia"/>
          <w:bCs/>
          <w:color w:val="auto"/>
          <w:szCs w:val="28"/>
        </w:rPr>
        <w:t>栋</w:t>
      </w:r>
      <w:r>
        <w:rPr>
          <w:rFonts w:hint="eastAsia"/>
          <w:bCs/>
          <w:color w:val="auto"/>
          <w:szCs w:val="28"/>
          <w:lang w:val="en-US" w:eastAsia="zh-CN"/>
        </w:rPr>
        <w:t>5</w:t>
      </w:r>
      <w:r>
        <w:rPr>
          <w:rFonts w:hint="eastAsia"/>
          <w:bCs/>
          <w:color w:val="auto"/>
          <w:szCs w:val="28"/>
        </w:rPr>
        <w:t>层党建楼，</w:t>
      </w:r>
      <w:r>
        <w:rPr>
          <w:rFonts w:hint="eastAsia"/>
          <w:bCs/>
          <w:color w:val="auto"/>
          <w:szCs w:val="28"/>
          <w:lang w:val="en-US" w:eastAsia="zh-CN"/>
        </w:rPr>
        <w:t>1</w:t>
      </w:r>
      <w:r>
        <w:rPr>
          <w:rFonts w:hint="eastAsia"/>
          <w:bCs/>
          <w:color w:val="auto"/>
          <w:szCs w:val="28"/>
        </w:rPr>
        <w:t xml:space="preserve">栋 </w:t>
      </w:r>
      <w:r>
        <w:rPr>
          <w:rFonts w:hint="eastAsia"/>
          <w:bCs/>
          <w:color w:val="auto"/>
          <w:szCs w:val="28"/>
          <w:lang w:val="en-US" w:eastAsia="zh-CN"/>
        </w:rPr>
        <w:t>4</w:t>
      </w:r>
      <w:r>
        <w:rPr>
          <w:rFonts w:hint="eastAsia"/>
          <w:bCs/>
          <w:color w:val="auto"/>
          <w:szCs w:val="28"/>
        </w:rPr>
        <w:t>层实验楼，1栋</w:t>
      </w:r>
      <w:r>
        <w:rPr>
          <w:rFonts w:hint="eastAsia"/>
          <w:bCs/>
          <w:color w:val="auto"/>
          <w:szCs w:val="28"/>
          <w:lang w:val="en-US" w:eastAsia="zh-CN"/>
        </w:rPr>
        <w:t>6</w:t>
      </w:r>
      <w:r>
        <w:rPr>
          <w:rFonts w:hint="eastAsia"/>
          <w:bCs/>
          <w:color w:val="auto"/>
          <w:szCs w:val="28"/>
        </w:rPr>
        <w:t>层教学楼，1栋</w:t>
      </w:r>
      <w:r>
        <w:rPr>
          <w:rFonts w:hint="eastAsia"/>
          <w:bCs/>
          <w:color w:val="auto"/>
          <w:szCs w:val="28"/>
          <w:lang w:val="en-US" w:eastAsia="zh-CN"/>
        </w:rPr>
        <w:t>6</w:t>
      </w:r>
      <w:r>
        <w:rPr>
          <w:rFonts w:hint="eastAsia"/>
          <w:bCs/>
          <w:color w:val="auto"/>
          <w:szCs w:val="28"/>
        </w:rPr>
        <w:t>层办公楼，1栋</w:t>
      </w:r>
      <w:r>
        <w:rPr>
          <w:rFonts w:hint="eastAsia"/>
          <w:bCs/>
          <w:color w:val="auto"/>
          <w:szCs w:val="28"/>
          <w:lang w:val="en-US" w:eastAsia="zh-CN"/>
        </w:rPr>
        <w:t>5</w:t>
      </w:r>
      <w:r>
        <w:rPr>
          <w:rFonts w:hint="eastAsia"/>
          <w:bCs/>
          <w:color w:val="auto"/>
          <w:szCs w:val="28"/>
        </w:rPr>
        <w:t>层艺术楼、1栋</w:t>
      </w:r>
      <w:r>
        <w:rPr>
          <w:rFonts w:hint="eastAsia"/>
          <w:bCs/>
          <w:color w:val="auto"/>
          <w:szCs w:val="28"/>
          <w:lang w:val="en-US" w:eastAsia="zh-CN"/>
        </w:rPr>
        <w:t>6</w:t>
      </w:r>
      <w:r>
        <w:rPr>
          <w:rFonts w:hint="eastAsia"/>
          <w:bCs/>
          <w:color w:val="auto"/>
          <w:szCs w:val="28"/>
        </w:rPr>
        <w:t>层宿舍楼和连廊，校区消防通道及地面停车位等。</w:t>
      </w:r>
    </w:p>
    <w:p w14:paraId="7E38767F">
      <w:pPr>
        <w:ind w:firstLine="560"/>
        <w:rPr>
          <w:rFonts w:hint="eastAsia"/>
          <w:bCs/>
          <w:color w:val="auto"/>
          <w:szCs w:val="28"/>
        </w:rPr>
      </w:pPr>
      <w:r>
        <w:rPr>
          <w:rFonts w:hint="eastAsia"/>
          <w:bCs/>
          <w:color w:val="auto"/>
          <w:szCs w:val="28"/>
        </w:rPr>
        <w:t>本项目于场地南侧设置</w:t>
      </w:r>
      <w:r>
        <w:rPr>
          <w:rFonts w:hint="eastAsia"/>
          <w:bCs/>
          <w:color w:val="auto"/>
          <w:szCs w:val="28"/>
          <w:lang w:val="en-US" w:eastAsia="zh-CN"/>
        </w:rPr>
        <w:t>1</w:t>
      </w:r>
      <w:r>
        <w:rPr>
          <w:rFonts w:hint="eastAsia"/>
          <w:bCs/>
          <w:color w:val="auto"/>
          <w:szCs w:val="28"/>
        </w:rPr>
        <w:t>处车行出入口和</w:t>
      </w:r>
      <w:r>
        <w:rPr>
          <w:rFonts w:hint="eastAsia"/>
          <w:bCs/>
          <w:color w:val="auto"/>
          <w:szCs w:val="28"/>
          <w:lang w:val="en-US" w:eastAsia="zh-CN"/>
        </w:rPr>
        <w:t>1</w:t>
      </w:r>
      <w:r>
        <w:rPr>
          <w:rFonts w:hint="eastAsia"/>
          <w:bCs/>
          <w:color w:val="auto"/>
          <w:szCs w:val="28"/>
        </w:rPr>
        <w:t>处人行出入口；东侧设置</w:t>
      </w:r>
      <w:r>
        <w:rPr>
          <w:rFonts w:hint="eastAsia"/>
          <w:bCs/>
          <w:color w:val="auto"/>
          <w:szCs w:val="28"/>
          <w:lang w:val="en-US" w:eastAsia="zh-CN"/>
        </w:rPr>
        <w:t>1</w:t>
      </w:r>
      <w:r>
        <w:rPr>
          <w:rFonts w:hint="eastAsia"/>
          <w:bCs/>
          <w:color w:val="auto"/>
          <w:szCs w:val="28"/>
        </w:rPr>
        <w:t>处机动车出入口和</w:t>
      </w:r>
      <w:r>
        <w:rPr>
          <w:rFonts w:hint="eastAsia"/>
          <w:bCs/>
          <w:color w:val="auto"/>
          <w:szCs w:val="28"/>
          <w:lang w:val="en-US" w:eastAsia="zh-CN"/>
        </w:rPr>
        <w:t>1</w:t>
      </w:r>
      <w:r>
        <w:rPr>
          <w:rFonts w:hint="eastAsia"/>
          <w:bCs/>
          <w:color w:val="auto"/>
          <w:szCs w:val="28"/>
        </w:rPr>
        <w:t>处消防应急出入口。</w:t>
      </w:r>
    </w:p>
    <w:p w14:paraId="7B616A35">
      <w:pPr>
        <w:ind w:firstLine="560"/>
        <w:rPr>
          <w:rFonts w:hint="eastAsia"/>
          <w:bCs/>
          <w:color w:val="auto"/>
          <w:szCs w:val="28"/>
        </w:rPr>
      </w:pPr>
      <w:r>
        <w:rPr>
          <w:rFonts w:hint="eastAsia"/>
          <w:bCs/>
          <w:color w:val="auto"/>
          <w:szCs w:val="28"/>
        </w:rPr>
        <w:t>项目1#党建楼（层高5层）位于场地东北侧，2a#实验楼（层高</w:t>
      </w:r>
      <w:r>
        <w:rPr>
          <w:rFonts w:hint="eastAsia"/>
          <w:bCs/>
          <w:color w:val="auto"/>
          <w:szCs w:val="28"/>
          <w:lang w:val="en-US" w:eastAsia="zh-CN"/>
        </w:rPr>
        <w:t>4</w:t>
      </w:r>
      <w:r>
        <w:rPr>
          <w:rFonts w:hint="eastAsia"/>
          <w:bCs/>
          <w:color w:val="auto"/>
          <w:szCs w:val="28"/>
        </w:rPr>
        <w:t>层）位于场地中部北侧，2b#教学楼（层高6层）位于场地中部南侧，2c#办公楼（层高6层）位于2a#实验楼东侧，3#艺术楼（层高</w:t>
      </w:r>
      <w:r>
        <w:rPr>
          <w:rFonts w:hint="eastAsia"/>
          <w:bCs/>
          <w:color w:val="auto"/>
          <w:szCs w:val="28"/>
          <w:lang w:val="en-US" w:eastAsia="zh-CN"/>
        </w:rPr>
        <w:t>5</w:t>
      </w:r>
      <w:r>
        <w:rPr>
          <w:rFonts w:hint="eastAsia"/>
          <w:bCs/>
          <w:color w:val="auto"/>
          <w:szCs w:val="28"/>
        </w:rPr>
        <w:t>层）位于2c#办公楼南侧，4#宿舍楼（层高</w:t>
      </w:r>
      <w:r>
        <w:rPr>
          <w:rFonts w:hint="eastAsia"/>
          <w:bCs/>
          <w:color w:val="auto"/>
          <w:szCs w:val="28"/>
          <w:lang w:val="en-US" w:eastAsia="zh-CN"/>
        </w:rPr>
        <w:t>6</w:t>
      </w:r>
      <w:r>
        <w:rPr>
          <w:rFonts w:hint="eastAsia"/>
          <w:bCs/>
          <w:color w:val="auto"/>
          <w:szCs w:val="28"/>
        </w:rPr>
        <w:t>层）位于场地西南侧，2#~4#楼之间设有架空连廊连接；操场位于场地西侧。</w:t>
      </w:r>
    </w:p>
    <w:p w14:paraId="53E11C3F">
      <w:pPr>
        <w:ind w:firstLine="560"/>
        <w:rPr>
          <w:rFonts w:hint="eastAsia"/>
          <w:bCs/>
          <w:color w:val="auto"/>
          <w:szCs w:val="28"/>
        </w:rPr>
      </w:pPr>
      <w:r>
        <w:rPr>
          <w:rFonts w:hint="eastAsia"/>
          <w:bCs/>
          <w:color w:val="auto"/>
          <w:szCs w:val="28"/>
        </w:rPr>
        <w:t>项目沿着建构筑物周围设有4m消防通道约704m，地面机动车停车位位于1#党建楼前，采用植草砖铺筑。</w:t>
      </w:r>
    </w:p>
    <w:p w14:paraId="4B0ADD5A">
      <w:pPr>
        <w:ind w:firstLine="560"/>
        <w:rPr>
          <w:rFonts w:hint="eastAsia"/>
          <w:bCs/>
          <w:color w:val="auto"/>
          <w:szCs w:val="28"/>
        </w:rPr>
      </w:pPr>
      <w:r>
        <w:rPr>
          <w:rFonts w:hint="eastAsia"/>
          <w:bCs/>
          <w:color w:val="auto"/>
          <w:szCs w:val="28"/>
        </w:rPr>
        <w:t>绿化面积共计0.80hm</w:t>
      </w:r>
      <w:r>
        <w:rPr>
          <w:rFonts w:hint="eastAsia"/>
          <w:bCs/>
          <w:color w:val="auto"/>
          <w:szCs w:val="28"/>
          <w:vertAlign w:val="superscript"/>
        </w:rPr>
        <w:t>2</w:t>
      </w:r>
      <w:r>
        <w:rPr>
          <w:rFonts w:hint="eastAsia"/>
          <w:bCs/>
          <w:color w:val="auto"/>
          <w:szCs w:val="28"/>
        </w:rPr>
        <w:t>。包括建构筑物周边绿化及操场绿化，共同形成错落有致的立体绿化系统，校园的环境设计要兼顾自然景观和人文景观，达到人与自然和谐统一，丰富的空间层次构成多种活动和交流的场所，合理绿化布置。</w:t>
      </w:r>
    </w:p>
    <w:p w14:paraId="5D7005D5">
      <w:pPr>
        <w:ind w:firstLine="560"/>
        <w:rPr>
          <w:rFonts w:hint="eastAsia"/>
          <w:bCs/>
          <w:color w:val="auto"/>
          <w:szCs w:val="28"/>
        </w:rPr>
      </w:pPr>
      <w:r>
        <w:rPr>
          <w:rFonts w:hint="eastAsia"/>
          <w:bCs/>
          <w:color w:val="auto"/>
          <w:szCs w:val="28"/>
        </w:rPr>
        <w:t>于办公楼、艺术楼、宿舍和操场下设有1处1~2层地下室，地下室占地共计1.15hm</w:t>
      </w:r>
      <w:r>
        <w:rPr>
          <w:rFonts w:hint="eastAsia"/>
          <w:bCs/>
          <w:color w:val="auto"/>
          <w:szCs w:val="28"/>
          <w:vertAlign w:val="superscript"/>
        </w:rPr>
        <w:t>2</w:t>
      </w:r>
      <w:r>
        <w:rPr>
          <w:rFonts w:hint="eastAsia"/>
          <w:bCs/>
          <w:color w:val="auto"/>
          <w:szCs w:val="28"/>
        </w:rPr>
        <w:t>，一层地下室层高3.6m；二层地下室位于操场下，面积0.61hm2，两层地下室总高6.9m（负一层地下室层高3.6m，负二层地下室层高3.3m</w:t>
      </w:r>
      <w:r>
        <w:rPr>
          <w:rFonts w:hint="eastAsia"/>
          <w:bCs/>
          <w:color w:val="auto"/>
          <w:szCs w:val="28"/>
          <w:lang w:eastAsia="zh-CN"/>
        </w:rPr>
        <w:t>）</w:t>
      </w:r>
      <w:r>
        <w:rPr>
          <w:rFonts w:hint="eastAsia"/>
          <w:bCs/>
          <w:color w:val="auto"/>
          <w:szCs w:val="28"/>
        </w:rPr>
        <w:t>。</w:t>
      </w:r>
    </w:p>
    <w:p w14:paraId="2D8978FF">
      <w:pPr>
        <w:ind w:firstLine="560"/>
        <w:rPr>
          <w:rFonts w:hint="eastAsia" w:ascii="Times New Roman" w:hAnsi="Times New Roman" w:cs="Times New Roman"/>
          <w:bCs/>
          <w:color w:val="auto"/>
          <w:szCs w:val="28"/>
        </w:rPr>
      </w:pPr>
      <w:r>
        <w:rPr>
          <w:rFonts w:hint="eastAsia" w:ascii="Times New Roman" w:hAnsi="Times New Roman" w:cs="Times New Roman"/>
          <w:bCs/>
          <w:color w:val="auto"/>
          <w:szCs w:val="28"/>
        </w:rPr>
        <w:t>雨水采用雨水管排放，雨水管沿着区内消防通道布设，排入南侧已建市政路市政雨水管。雨水管采用HDPE双壁波纹塑料管，操场周围设有盖板排水沟排导地表水。</w:t>
      </w:r>
    </w:p>
    <w:p w14:paraId="7EB9681C">
      <w:pPr>
        <w:adjustRightInd w:val="0"/>
        <w:snapToGrid w:val="0"/>
        <w:ind w:left="0" w:leftChars="0" w:firstLine="0" w:firstLineChars="0"/>
        <w:rPr>
          <w:rFonts w:hint="eastAsia" w:eastAsia="仿宋_GB2312"/>
          <w:b/>
          <w:color w:val="auto"/>
          <w:szCs w:val="28"/>
          <w:lang w:eastAsia="zh-CN"/>
        </w:rPr>
      </w:pPr>
      <w:r>
        <w:rPr>
          <w:b/>
          <w:color w:val="auto"/>
          <w:szCs w:val="28"/>
        </w:rPr>
        <w:t>1.1.4.</w:t>
      </w:r>
      <w:r>
        <w:rPr>
          <w:rFonts w:hint="eastAsia"/>
          <w:b/>
          <w:color w:val="auto"/>
          <w:szCs w:val="28"/>
        </w:rPr>
        <w:t>2</w:t>
      </w:r>
      <w:r>
        <w:rPr>
          <w:rFonts w:hint="eastAsia"/>
          <w:b/>
          <w:color w:val="auto"/>
          <w:szCs w:val="28"/>
          <w:lang w:eastAsia="zh-CN"/>
        </w:rPr>
        <w:t>施工生产生活区</w:t>
      </w:r>
    </w:p>
    <w:p w14:paraId="7248BBA9">
      <w:pPr>
        <w:keepNext w:val="0"/>
        <w:keepLines w:val="0"/>
        <w:pageBreakBefore w:val="0"/>
        <w:widowControl w:val="0"/>
        <w:kinsoku/>
        <w:wordWrap/>
        <w:overflowPunct/>
        <w:topLinePunct w:val="0"/>
        <w:autoSpaceDE/>
        <w:autoSpaceDN/>
        <w:bidi w:val="0"/>
        <w:snapToGrid w:val="0"/>
        <w:ind w:firstLine="840" w:firstLineChars="300"/>
        <w:textAlignment w:val="auto"/>
        <w:rPr>
          <w:bCs/>
          <w:color w:val="auto"/>
          <w:szCs w:val="28"/>
        </w:rPr>
      </w:pPr>
      <w:r>
        <w:rPr>
          <w:rFonts w:hint="eastAsia"/>
          <w:bCs/>
          <w:color w:val="auto"/>
          <w:szCs w:val="28"/>
        </w:rPr>
        <w:t>根据项目建设区施工进度安排及总体布局，</w:t>
      </w:r>
      <w:r>
        <w:rPr>
          <w:rFonts w:hint="eastAsia"/>
          <w:bCs/>
          <w:color w:val="auto"/>
          <w:szCs w:val="28"/>
          <w:lang w:val="en-US" w:eastAsia="zh-CN"/>
        </w:rPr>
        <w:t>本项目已于场地东侧征地红线外布设1处施工生产生活区，占地0.23hm</w:t>
      </w:r>
      <w:r>
        <w:rPr>
          <w:rFonts w:hint="eastAsia"/>
          <w:bCs/>
          <w:color w:val="auto"/>
          <w:szCs w:val="28"/>
          <w:vertAlign w:val="superscript"/>
          <w:lang w:val="en-US" w:eastAsia="zh-CN"/>
        </w:rPr>
        <w:t>2</w:t>
      </w:r>
      <w:r>
        <w:rPr>
          <w:rFonts w:hint="eastAsia"/>
          <w:bCs/>
          <w:color w:val="auto"/>
          <w:szCs w:val="28"/>
          <w:lang w:val="en-US" w:eastAsia="zh-CN"/>
        </w:rPr>
        <w:t>。主要用于施工人员办公生活临时工棚搭建等</w:t>
      </w:r>
      <w:r>
        <w:rPr>
          <w:rFonts w:hint="eastAsia"/>
          <w:bCs/>
          <w:color w:val="auto"/>
          <w:szCs w:val="28"/>
        </w:rPr>
        <w:t>。</w:t>
      </w:r>
    </w:p>
    <w:p w14:paraId="5237A568">
      <w:pPr>
        <w:adjustRightInd w:val="0"/>
        <w:snapToGrid w:val="0"/>
        <w:ind w:firstLine="560"/>
        <w:rPr>
          <w:rFonts w:hint="eastAsia" w:eastAsia="仿宋"/>
          <w:bCs/>
          <w:color w:val="auto"/>
          <w:szCs w:val="28"/>
        </w:rPr>
      </w:pPr>
      <w:r>
        <w:rPr>
          <w:rFonts w:hint="eastAsia" w:eastAsia="仿宋"/>
          <w:bCs/>
          <w:color w:val="auto"/>
          <w:szCs w:val="28"/>
        </w:rPr>
        <w:t>根据现场踏勘和《原福建嘉达纺织股份有限公司福飞路厂区区间道路预留地块租赁合同》，</w:t>
      </w:r>
      <w:r>
        <w:rPr>
          <w:rFonts w:hint="eastAsia" w:eastAsia="仿宋"/>
          <w:bCs/>
          <w:color w:val="auto"/>
          <w:szCs w:val="28"/>
          <w:lang w:val="en-US" w:eastAsia="zh-CN"/>
        </w:rPr>
        <w:t>原</w:t>
      </w:r>
      <w:r>
        <w:rPr>
          <w:rFonts w:hint="eastAsia" w:eastAsia="仿宋"/>
          <w:bCs/>
          <w:color w:val="auto"/>
          <w:szCs w:val="28"/>
        </w:rPr>
        <w:t>嘉达纺织</w:t>
      </w:r>
      <w:r>
        <w:rPr>
          <w:rFonts w:hint="eastAsia" w:eastAsia="仿宋"/>
          <w:bCs/>
          <w:color w:val="auto"/>
          <w:szCs w:val="28"/>
          <w:lang w:val="en-US" w:eastAsia="zh-CN"/>
        </w:rPr>
        <w:t>厂地北侧规划路道路工程的施工单位</w:t>
      </w:r>
      <w:r>
        <w:rPr>
          <w:rFonts w:hint="eastAsia" w:eastAsia="仿宋"/>
          <w:bCs/>
          <w:color w:val="auto"/>
          <w:szCs w:val="28"/>
        </w:rPr>
        <w:t>已于2025年</w:t>
      </w:r>
      <w:r>
        <w:rPr>
          <w:rFonts w:hint="eastAsia" w:eastAsia="仿宋"/>
          <w:bCs/>
          <w:color w:val="auto"/>
          <w:szCs w:val="28"/>
          <w:lang w:val="en-US" w:eastAsia="zh-CN"/>
        </w:rPr>
        <w:t>6</w:t>
      </w:r>
      <w:r>
        <w:rPr>
          <w:rFonts w:hint="eastAsia" w:eastAsia="仿宋"/>
          <w:bCs/>
          <w:color w:val="auto"/>
          <w:szCs w:val="28"/>
        </w:rPr>
        <w:t>月</w:t>
      </w:r>
      <w:r>
        <w:rPr>
          <w:rFonts w:hint="eastAsia" w:eastAsia="仿宋"/>
          <w:bCs/>
          <w:color w:val="auto"/>
          <w:szCs w:val="28"/>
          <w:lang w:val="en-US" w:eastAsia="zh-CN"/>
        </w:rPr>
        <w:t>底</w:t>
      </w:r>
      <w:r>
        <w:rPr>
          <w:rFonts w:hint="eastAsia" w:eastAsia="仿宋"/>
          <w:bCs/>
          <w:color w:val="auto"/>
          <w:szCs w:val="28"/>
        </w:rPr>
        <w:t>进场，</w:t>
      </w:r>
      <w:r>
        <w:rPr>
          <w:rFonts w:hint="eastAsia" w:eastAsia="仿宋"/>
          <w:bCs/>
          <w:color w:val="auto"/>
          <w:szCs w:val="28"/>
          <w:lang w:val="en-US" w:eastAsia="zh-CN"/>
        </w:rPr>
        <w:t>硬化破除，不对该区域土地整治和撒播草籽恢复</w:t>
      </w:r>
      <w:r>
        <w:rPr>
          <w:rFonts w:hint="eastAsia" w:eastAsia="仿宋"/>
          <w:bCs/>
          <w:color w:val="auto"/>
          <w:szCs w:val="28"/>
          <w:lang w:eastAsia="zh-CN"/>
        </w:rPr>
        <w:t>。截至</w:t>
      </w:r>
      <w:r>
        <w:rPr>
          <w:rFonts w:hint="eastAsia" w:eastAsia="仿宋"/>
          <w:bCs/>
          <w:color w:val="auto"/>
          <w:szCs w:val="28"/>
          <w:lang w:val="en-US" w:eastAsia="zh-CN"/>
        </w:rPr>
        <w:t>目前，</w:t>
      </w:r>
      <w:r>
        <w:rPr>
          <w:rFonts w:hint="eastAsia" w:eastAsia="仿宋"/>
          <w:color w:val="auto"/>
          <w:kern w:val="0"/>
          <w:szCs w:val="28"/>
          <w:lang w:eastAsia="zh-CN"/>
        </w:rPr>
        <w:t>施工生产生活区</w:t>
      </w:r>
      <w:r>
        <w:rPr>
          <w:rFonts w:hint="eastAsia" w:eastAsia="仿宋"/>
          <w:color w:val="auto"/>
          <w:kern w:val="0"/>
          <w:szCs w:val="28"/>
          <w:lang w:val="en-US" w:eastAsia="zh-CN"/>
        </w:rPr>
        <w:t>已拆除，</w:t>
      </w:r>
      <w:r>
        <w:rPr>
          <w:rFonts w:hint="eastAsia" w:eastAsia="仿宋"/>
          <w:bCs/>
          <w:color w:val="auto"/>
          <w:szCs w:val="28"/>
        </w:rPr>
        <w:t>归还原嘉达纺织厂地北侧规划路道路工程建设单位</w:t>
      </w:r>
      <w:r>
        <w:rPr>
          <w:rFonts w:hint="eastAsia" w:eastAsia="仿宋"/>
          <w:bCs/>
          <w:color w:val="auto"/>
          <w:szCs w:val="28"/>
          <w:lang w:val="en-US" w:eastAsia="zh-CN"/>
        </w:rPr>
        <w:t>建设</w:t>
      </w:r>
      <w:r>
        <w:rPr>
          <w:rFonts w:hint="eastAsia" w:eastAsia="仿宋"/>
          <w:bCs/>
          <w:color w:val="auto"/>
          <w:szCs w:val="28"/>
        </w:rPr>
        <w:t>使用。</w:t>
      </w:r>
    </w:p>
    <w:p w14:paraId="14A877BF">
      <w:pPr>
        <w:adjustRightInd w:val="0"/>
        <w:snapToGrid w:val="0"/>
        <w:ind w:firstLine="0" w:firstLineChars="0"/>
        <w:rPr>
          <w:rFonts w:hint="eastAsia" w:eastAsia="仿宋_GB2312"/>
          <w:b/>
          <w:color w:val="auto"/>
          <w:szCs w:val="28"/>
          <w:lang w:eastAsia="zh-CN"/>
        </w:rPr>
      </w:pPr>
      <w:r>
        <w:rPr>
          <w:b/>
          <w:color w:val="auto"/>
          <w:szCs w:val="28"/>
        </w:rPr>
        <w:t>1.1.4.</w:t>
      </w:r>
      <w:r>
        <w:rPr>
          <w:rFonts w:hint="eastAsia"/>
          <w:b/>
          <w:color w:val="auto"/>
          <w:szCs w:val="28"/>
          <w:lang w:val="en-US" w:eastAsia="zh-CN"/>
        </w:rPr>
        <w:t>3</w:t>
      </w:r>
      <w:r>
        <w:rPr>
          <w:rFonts w:hint="eastAsia"/>
          <w:b/>
          <w:color w:val="auto"/>
          <w:szCs w:val="28"/>
          <w:lang w:eastAsia="zh-CN"/>
        </w:rPr>
        <w:t>土方临时堆场</w:t>
      </w:r>
    </w:p>
    <w:p w14:paraId="66B3FD06">
      <w:pPr>
        <w:adjustRightInd w:val="0"/>
        <w:snapToGrid w:val="0"/>
        <w:ind w:firstLine="560"/>
        <w:rPr>
          <w:rFonts w:hint="eastAsia"/>
          <w:color w:val="auto"/>
          <w:kern w:val="0"/>
          <w:szCs w:val="28"/>
          <w:lang w:eastAsia="zh-CN"/>
        </w:rPr>
      </w:pPr>
      <w:r>
        <w:rPr>
          <w:rFonts w:hint="eastAsia"/>
          <w:bCs/>
          <w:color w:val="auto"/>
          <w:szCs w:val="28"/>
        </w:rPr>
        <w:t>根据项目建设区施工进度安排及总体布局，</w:t>
      </w:r>
      <w:r>
        <w:rPr>
          <w:rFonts w:hint="eastAsia"/>
          <w:color w:val="auto"/>
          <w:kern w:val="0"/>
          <w:szCs w:val="28"/>
          <w:lang w:eastAsia="zh-CN"/>
        </w:rPr>
        <w:t>在征地红线内</w:t>
      </w:r>
      <w:r>
        <w:rPr>
          <w:rFonts w:hint="eastAsia"/>
          <w:color w:val="auto"/>
          <w:kern w:val="0"/>
          <w:szCs w:val="28"/>
          <w:lang w:val="en-US" w:eastAsia="zh-CN"/>
        </w:rPr>
        <w:t>空地处</w:t>
      </w:r>
      <w:r>
        <w:rPr>
          <w:rFonts w:hint="eastAsia"/>
          <w:color w:val="auto"/>
          <w:kern w:val="0"/>
          <w:szCs w:val="28"/>
          <w:lang w:eastAsia="zh-CN"/>
        </w:rPr>
        <w:t>布设1处土方临时堆场，占地面积</w:t>
      </w:r>
      <w:r>
        <w:rPr>
          <w:rFonts w:hint="eastAsia"/>
          <w:color w:val="auto"/>
          <w:kern w:val="0"/>
          <w:szCs w:val="28"/>
          <w:lang w:val="en-US" w:eastAsia="zh-CN"/>
        </w:rPr>
        <w:t>0.10h</w:t>
      </w:r>
      <w:r>
        <w:rPr>
          <w:rFonts w:hint="eastAsia"/>
          <w:color w:val="auto"/>
          <w:kern w:val="0"/>
          <w:szCs w:val="28"/>
          <w:lang w:eastAsia="zh-CN"/>
        </w:rPr>
        <w:t>m</w:t>
      </w:r>
      <w:r>
        <w:rPr>
          <w:rFonts w:hint="eastAsia"/>
          <w:color w:val="auto"/>
          <w:kern w:val="0"/>
          <w:szCs w:val="28"/>
          <w:vertAlign w:val="superscript"/>
          <w:lang w:eastAsia="zh-CN"/>
        </w:rPr>
        <w:t>2</w:t>
      </w:r>
      <w:r>
        <w:rPr>
          <w:rFonts w:hint="eastAsia"/>
          <w:color w:val="auto"/>
          <w:kern w:val="0"/>
          <w:szCs w:val="28"/>
          <w:lang w:eastAsia="zh-CN"/>
        </w:rPr>
        <w:t>，用于土方的临时堆放。</w:t>
      </w:r>
    </w:p>
    <w:p w14:paraId="29A56022">
      <w:pPr>
        <w:adjustRightInd w:val="0"/>
        <w:snapToGrid w:val="0"/>
        <w:ind w:firstLine="560"/>
        <w:rPr>
          <w:rFonts w:hint="eastAsia" w:eastAsia="仿宋"/>
          <w:bCs/>
          <w:color w:val="auto"/>
          <w:szCs w:val="28"/>
        </w:rPr>
      </w:pPr>
      <w:r>
        <w:rPr>
          <w:rFonts w:hint="eastAsia"/>
          <w:color w:val="auto"/>
          <w:kern w:val="0"/>
          <w:szCs w:val="28"/>
          <w:lang w:val="en-US" w:eastAsia="zh-CN"/>
        </w:rPr>
        <w:t>截止目前，该区域已拆除，</w:t>
      </w:r>
      <w:r>
        <w:rPr>
          <w:rFonts w:hint="eastAsia"/>
          <w:color w:val="auto"/>
          <w:kern w:val="0"/>
          <w:szCs w:val="28"/>
          <w:lang w:eastAsia="zh-CN"/>
        </w:rPr>
        <w:t>建设单位</w:t>
      </w:r>
      <w:r>
        <w:rPr>
          <w:rFonts w:hint="eastAsia" w:ascii="Times New Roman" w:hAnsi="Times New Roman" w:cs="Times New Roman"/>
          <w:bCs/>
          <w:color w:val="auto"/>
          <w:szCs w:val="28"/>
          <w:lang w:val="en-US" w:eastAsia="zh-CN"/>
        </w:rPr>
        <w:t>根据设计图纸进行建设</w:t>
      </w:r>
      <w:r>
        <w:rPr>
          <w:rFonts w:hint="eastAsia" w:eastAsia="仿宋"/>
          <w:bCs/>
          <w:color w:val="auto"/>
          <w:szCs w:val="28"/>
        </w:rPr>
        <w:t>。</w:t>
      </w:r>
    </w:p>
    <w:p w14:paraId="7588C973">
      <w:pPr>
        <w:adjustRightInd w:val="0"/>
        <w:snapToGrid w:val="0"/>
        <w:ind w:firstLine="0" w:firstLineChars="0"/>
        <w:rPr>
          <w:rFonts w:hint="default" w:eastAsia="仿宋_GB2312"/>
          <w:b/>
          <w:color w:val="auto"/>
          <w:szCs w:val="28"/>
          <w:lang w:val="en-US" w:eastAsia="zh-CN"/>
        </w:rPr>
      </w:pPr>
      <w:r>
        <w:rPr>
          <w:b/>
          <w:color w:val="auto"/>
          <w:szCs w:val="28"/>
        </w:rPr>
        <w:t>1.1.4.</w:t>
      </w:r>
      <w:r>
        <w:rPr>
          <w:rFonts w:hint="eastAsia"/>
          <w:b/>
          <w:color w:val="auto"/>
          <w:szCs w:val="28"/>
          <w:lang w:val="en-US" w:eastAsia="zh-CN"/>
        </w:rPr>
        <w:t>3施工便道</w:t>
      </w:r>
    </w:p>
    <w:p w14:paraId="15B7B4BD">
      <w:pPr>
        <w:adjustRightInd w:val="0"/>
        <w:snapToGrid w:val="0"/>
        <w:ind w:firstLine="560"/>
        <w:rPr>
          <w:rFonts w:hint="eastAsia" w:ascii="Times New Roman" w:hAnsi="Times New Roman" w:cs="Times New Roman"/>
          <w:bCs/>
          <w:color w:val="auto"/>
          <w:szCs w:val="28"/>
        </w:rPr>
      </w:pPr>
      <w:r>
        <w:rPr>
          <w:rFonts w:hint="eastAsia" w:ascii="Times New Roman" w:hAnsi="Times New Roman" w:cs="Times New Roman"/>
          <w:bCs/>
          <w:color w:val="auto"/>
          <w:szCs w:val="28"/>
        </w:rPr>
        <w:t>本项目南侧为已建的市政路，周边存在江厝路、福飞路、天泉路和二环路等市政道路，场外交通运输便利。</w:t>
      </w:r>
    </w:p>
    <w:p w14:paraId="033E4C90">
      <w:pPr>
        <w:adjustRightInd w:val="0"/>
        <w:snapToGrid w:val="0"/>
        <w:ind w:firstLine="560"/>
        <w:rPr>
          <w:rFonts w:hint="eastAsia" w:ascii="Times New Roman" w:hAnsi="Times New Roman" w:cs="Times New Roman"/>
          <w:bCs/>
          <w:color w:val="auto"/>
          <w:szCs w:val="28"/>
        </w:rPr>
      </w:pPr>
      <w:r>
        <w:rPr>
          <w:rFonts w:hint="eastAsia" w:ascii="Times New Roman" w:hAnsi="Times New Roman" w:cs="Times New Roman"/>
          <w:bCs/>
          <w:color w:val="auto"/>
          <w:szCs w:val="28"/>
        </w:rPr>
        <w:t>项目施工时，沿着场地南侧、东侧和北侧设有</w:t>
      </w:r>
      <w:r>
        <w:rPr>
          <w:rFonts w:hint="eastAsia" w:ascii="Times New Roman" w:hAnsi="Times New Roman" w:cs="Times New Roman"/>
          <w:bCs/>
          <w:color w:val="auto"/>
          <w:szCs w:val="28"/>
          <w:lang w:val="en-US" w:eastAsia="zh-CN"/>
        </w:rPr>
        <w:t>1</w:t>
      </w:r>
      <w:r>
        <w:rPr>
          <w:rFonts w:hint="eastAsia" w:ascii="Times New Roman" w:hAnsi="Times New Roman" w:cs="Times New Roman"/>
          <w:bCs/>
          <w:color w:val="auto"/>
          <w:szCs w:val="28"/>
        </w:rPr>
        <w:t>条4</w:t>
      </w:r>
      <w:r>
        <w:rPr>
          <w:rFonts w:hint="eastAsia" w:cs="Times New Roman"/>
          <w:bCs/>
          <w:color w:val="auto"/>
          <w:szCs w:val="28"/>
          <w:lang w:eastAsia="zh-CN"/>
        </w:rPr>
        <w:t>～</w:t>
      </w:r>
      <w:r>
        <w:rPr>
          <w:rFonts w:hint="eastAsia" w:ascii="Times New Roman" w:hAnsi="Times New Roman" w:cs="Times New Roman"/>
          <w:bCs/>
          <w:color w:val="auto"/>
          <w:szCs w:val="28"/>
        </w:rPr>
        <w:t>9m宽的施工便道，施工便道长约652m，占地约0.37hm</w:t>
      </w:r>
      <w:r>
        <w:rPr>
          <w:rFonts w:hint="eastAsia" w:ascii="Times New Roman" w:hAnsi="Times New Roman" w:cs="Times New Roman"/>
          <w:bCs/>
          <w:color w:val="auto"/>
          <w:szCs w:val="28"/>
          <w:vertAlign w:val="superscript"/>
        </w:rPr>
        <w:t>2</w:t>
      </w:r>
      <w:r>
        <w:rPr>
          <w:rFonts w:hint="eastAsia" w:ascii="Times New Roman" w:hAnsi="Times New Roman" w:cs="Times New Roman"/>
          <w:bCs/>
          <w:color w:val="auto"/>
          <w:szCs w:val="28"/>
        </w:rPr>
        <w:t>（其中0.35hm</w:t>
      </w:r>
      <w:r>
        <w:rPr>
          <w:rFonts w:hint="eastAsia" w:ascii="Times New Roman" w:hAnsi="Times New Roman" w:cs="Times New Roman"/>
          <w:bCs/>
          <w:color w:val="auto"/>
          <w:szCs w:val="28"/>
          <w:vertAlign w:val="superscript"/>
        </w:rPr>
        <w:t>2</w:t>
      </w:r>
      <w:r>
        <w:rPr>
          <w:rFonts w:hint="eastAsia" w:ascii="Times New Roman" w:hAnsi="Times New Roman" w:cs="Times New Roman"/>
          <w:bCs/>
          <w:color w:val="auto"/>
          <w:szCs w:val="28"/>
        </w:rPr>
        <w:t>位于征地红线内，不重复计算占地）。</w:t>
      </w:r>
    </w:p>
    <w:p w14:paraId="06B23731">
      <w:pPr>
        <w:adjustRightInd w:val="0"/>
        <w:snapToGrid w:val="0"/>
        <w:ind w:firstLine="560"/>
        <w:rPr>
          <w:rFonts w:hint="default" w:ascii="Times New Roman" w:hAnsi="Times New Roman" w:eastAsia="仿宋_GB2312" w:cs="Times New Roman"/>
          <w:bCs/>
          <w:color w:val="auto"/>
          <w:szCs w:val="28"/>
          <w:lang w:val="en-US" w:eastAsia="zh-CN"/>
        </w:rPr>
      </w:pPr>
      <w:r>
        <w:rPr>
          <w:rFonts w:hint="eastAsia" w:cs="Times New Roman"/>
          <w:bCs/>
          <w:color w:val="auto"/>
          <w:szCs w:val="28"/>
          <w:lang w:val="en-US" w:eastAsia="zh-CN"/>
        </w:rPr>
        <w:t>截止</w:t>
      </w:r>
      <w:r>
        <w:rPr>
          <w:rFonts w:hint="eastAsia" w:ascii="Times New Roman" w:hAnsi="Times New Roman" w:cs="Times New Roman"/>
          <w:bCs/>
          <w:color w:val="auto"/>
          <w:szCs w:val="28"/>
          <w:lang w:val="en-US" w:eastAsia="zh-CN"/>
        </w:rPr>
        <w:t>目前，该区域已拆除。红线外占地进行土地整治并撒播草籽恢复；红线内的占地根据设计进行建设。</w:t>
      </w:r>
    </w:p>
    <w:p w14:paraId="79339CF1">
      <w:pPr>
        <w:pStyle w:val="4"/>
        <w:widowControl/>
        <w:rPr>
          <w:rFonts w:eastAsia="仿宋"/>
          <w:color w:val="auto"/>
          <w:kern w:val="0"/>
        </w:rPr>
      </w:pPr>
      <w:r>
        <w:rPr>
          <w:rFonts w:eastAsia="仿宋"/>
          <w:color w:val="auto"/>
          <w:kern w:val="0"/>
        </w:rPr>
        <w:t>1.1.5施工组织及工期</w:t>
      </w:r>
      <w:bookmarkEnd w:id="12"/>
      <w:bookmarkEnd w:id="13"/>
    </w:p>
    <w:p w14:paraId="2DB8C7AE">
      <w:pPr>
        <w:pStyle w:val="5"/>
        <w:widowControl/>
        <w:rPr>
          <w:rFonts w:eastAsia="仿宋"/>
          <w:color w:val="auto"/>
          <w:kern w:val="0"/>
        </w:rPr>
      </w:pPr>
      <w:bookmarkStart w:id="14" w:name="_Toc369855373"/>
      <w:bookmarkStart w:id="15" w:name="_Toc357178430"/>
      <w:bookmarkStart w:id="16" w:name="_Toc306347987"/>
      <w:bookmarkStart w:id="17" w:name="_Toc1403"/>
      <w:bookmarkStart w:id="18" w:name="_Toc392663741"/>
      <w:bookmarkStart w:id="19" w:name="_Toc393819183"/>
      <w:bookmarkStart w:id="20" w:name="_Toc383603742"/>
      <w:r>
        <w:rPr>
          <w:rFonts w:eastAsia="仿宋"/>
          <w:color w:val="auto"/>
          <w:kern w:val="0"/>
        </w:rPr>
        <w:t>1.1.5.1施工</w:t>
      </w:r>
      <w:bookmarkEnd w:id="14"/>
      <w:bookmarkEnd w:id="15"/>
      <w:bookmarkEnd w:id="16"/>
      <w:r>
        <w:rPr>
          <w:rFonts w:eastAsia="仿宋"/>
          <w:color w:val="auto"/>
          <w:kern w:val="0"/>
        </w:rPr>
        <w:t>组织</w:t>
      </w:r>
      <w:bookmarkEnd w:id="17"/>
      <w:bookmarkEnd w:id="18"/>
      <w:bookmarkEnd w:id="19"/>
      <w:bookmarkEnd w:id="20"/>
    </w:p>
    <w:p w14:paraId="30740093">
      <w:pPr>
        <w:tabs>
          <w:tab w:val="left" w:pos="4020"/>
        </w:tabs>
        <w:ind w:firstLine="560"/>
        <w:rPr>
          <w:rFonts w:eastAsia="仿宋"/>
          <w:bCs/>
          <w:color w:val="auto"/>
          <w:szCs w:val="28"/>
        </w:rPr>
      </w:pPr>
      <w:r>
        <w:rPr>
          <w:rFonts w:eastAsia="仿宋"/>
          <w:bCs/>
          <w:color w:val="auto"/>
          <w:szCs w:val="28"/>
        </w:rPr>
        <w:t>（1）机械化施工</w:t>
      </w:r>
    </w:p>
    <w:p w14:paraId="0F70BF66">
      <w:pPr>
        <w:tabs>
          <w:tab w:val="left" w:pos="4020"/>
        </w:tabs>
        <w:ind w:firstLine="560"/>
        <w:rPr>
          <w:rFonts w:eastAsia="仿宋"/>
          <w:bCs/>
          <w:color w:val="auto"/>
          <w:szCs w:val="28"/>
        </w:rPr>
      </w:pPr>
      <w:r>
        <w:rPr>
          <w:rFonts w:eastAsia="仿宋"/>
          <w:bCs/>
          <w:color w:val="auto"/>
          <w:szCs w:val="28"/>
        </w:rPr>
        <w:t>本项目的开挖、回填土工程均以机械化施工为主，人工施工仅限于少量不适宜机械施工的情况。</w:t>
      </w:r>
    </w:p>
    <w:p w14:paraId="32CD6481">
      <w:pPr>
        <w:tabs>
          <w:tab w:val="left" w:pos="4020"/>
        </w:tabs>
        <w:ind w:firstLine="560"/>
        <w:rPr>
          <w:rFonts w:eastAsia="仿宋"/>
          <w:bCs/>
          <w:color w:val="auto"/>
          <w:szCs w:val="28"/>
        </w:rPr>
      </w:pPr>
      <w:r>
        <w:rPr>
          <w:rFonts w:eastAsia="仿宋"/>
          <w:bCs/>
          <w:color w:val="auto"/>
          <w:szCs w:val="28"/>
        </w:rPr>
        <w:t>（2）施工材料</w:t>
      </w:r>
    </w:p>
    <w:p w14:paraId="33FC3AEE">
      <w:pPr>
        <w:tabs>
          <w:tab w:val="left" w:pos="4020"/>
        </w:tabs>
        <w:ind w:firstLine="560"/>
        <w:rPr>
          <w:rFonts w:eastAsia="仿宋"/>
          <w:bCs/>
          <w:color w:val="auto"/>
          <w:szCs w:val="28"/>
        </w:rPr>
      </w:pPr>
      <w:r>
        <w:rPr>
          <w:rFonts w:eastAsia="仿宋"/>
          <w:bCs/>
          <w:color w:val="auto"/>
          <w:szCs w:val="28"/>
        </w:rPr>
        <w:t>本项目建设所需的主要建筑材料包括水泥、钢材、砂料、石料等，主要采用购买的方式解决。本地均有生产、供应，货源充足，可就近采购。外购材料的经营厂家均为经有关部门批准建设的正式企业，在购买协议中将明确水土流失防治责任由开采单位负责</w:t>
      </w:r>
      <w:r>
        <w:rPr>
          <w:rFonts w:hint="eastAsia" w:eastAsia="仿宋"/>
          <w:bCs/>
          <w:color w:val="auto"/>
          <w:szCs w:val="28"/>
        </w:rPr>
        <w:t>。</w:t>
      </w:r>
    </w:p>
    <w:p w14:paraId="044670AC">
      <w:pPr>
        <w:tabs>
          <w:tab w:val="left" w:pos="4020"/>
        </w:tabs>
        <w:ind w:firstLine="560"/>
        <w:rPr>
          <w:rFonts w:eastAsia="仿宋"/>
          <w:bCs/>
          <w:color w:val="auto"/>
          <w:szCs w:val="28"/>
        </w:rPr>
      </w:pPr>
      <w:r>
        <w:rPr>
          <w:rFonts w:eastAsia="仿宋"/>
          <w:bCs/>
          <w:color w:val="auto"/>
          <w:szCs w:val="28"/>
        </w:rPr>
        <w:t>（3）工程用水用电</w:t>
      </w:r>
    </w:p>
    <w:p w14:paraId="79901796">
      <w:pPr>
        <w:tabs>
          <w:tab w:val="left" w:pos="4020"/>
        </w:tabs>
        <w:ind w:firstLine="560"/>
        <w:rPr>
          <w:rFonts w:eastAsia="仿宋"/>
          <w:bCs/>
          <w:color w:val="auto"/>
          <w:szCs w:val="28"/>
        </w:rPr>
      </w:pPr>
      <w:r>
        <w:rPr>
          <w:rFonts w:eastAsia="仿宋"/>
          <w:bCs/>
          <w:color w:val="auto"/>
          <w:szCs w:val="28"/>
        </w:rPr>
        <w:t>施工生活用水从周边供水点接入，施工生产用水可直接从项目区周边取用。周边电力供应情况良好，工程用电与当地电力部门协商解决。</w:t>
      </w:r>
    </w:p>
    <w:p w14:paraId="2412DCB9">
      <w:pPr>
        <w:tabs>
          <w:tab w:val="left" w:pos="4020"/>
        </w:tabs>
        <w:ind w:firstLine="560"/>
        <w:rPr>
          <w:rFonts w:eastAsia="仿宋"/>
          <w:bCs/>
          <w:color w:val="auto"/>
          <w:szCs w:val="28"/>
        </w:rPr>
      </w:pPr>
      <w:r>
        <w:rPr>
          <w:rFonts w:eastAsia="仿宋"/>
          <w:bCs/>
          <w:color w:val="auto"/>
          <w:szCs w:val="28"/>
        </w:rPr>
        <w:t>（4）运输条件</w:t>
      </w:r>
    </w:p>
    <w:p w14:paraId="7716F938">
      <w:pPr>
        <w:tabs>
          <w:tab w:val="left" w:pos="4020"/>
        </w:tabs>
        <w:ind w:firstLine="560"/>
        <w:rPr>
          <w:rFonts w:eastAsia="仿宋"/>
          <w:bCs/>
          <w:color w:val="auto"/>
          <w:szCs w:val="28"/>
        </w:rPr>
      </w:pPr>
      <w:r>
        <w:rPr>
          <w:rFonts w:eastAsia="仿宋"/>
          <w:bCs/>
          <w:color w:val="auto"/>
          <w:szCs w:val="28"/>
        </w:rPr>
        <w:t>项目</w:t>
      </w:r>
      <w:r>
        <w:rPr>
          <w:rFonts w:hint="eastAsia" w:eastAsia="仿宋"/>
          <w:bCs/>
          <w:color w:val="auto"/>
          <w:szCs w:val="28"/>
        </w:rPr>
        <w:t>用地现状道路有凯歌路、上洋支路、海峡路，交通较为便利，运输条件良好，施工机械及运输无需另开施工道路，可以满足本项目施工需要。</w:t>
      </w:r>
    </w:p>
    <w:p w14:paraId="6A79EB73">
      <w:pPr>
        <w:pStyle w:val="5"/>
        <w:widowControl/>
        <w:rPr>
          <w:rFonts w:eastAsia="仿宋"/>
          <w:color w:val="auto"/>
          <w:kern w:val="0"/>
        </w:rPr>
      </w:pPr>
      <w:r>
        <w:rPr>
          <w:rFonts w:eastAsia="仿宋"/>
          <w:color w:val="auto"/>
          <w:kern w:val="0"/>
        </w:rPr>
        <w:t>1.1.5.</w:t>
      </w:r>
      <w:r>
        <w:rPr>
          <w:rFonts w:hint="eastAsia" w:eastAsia="仿宋"/>
          <w:color w:val="auto"/>
          <w:kern w:val="0"/>
        </w:rPr>
        <w:t>2</w:t>
      </w:r>
      <w:r>
        <w:rPr>
          <w:rFonts w:eastAsia="仿宋"/>
          <w:color w:val="auto"/>
          <w:kern w:val="0"/>
        </w:rPr>
        <w:t>施工工期</w:t>
      </w:r>
    </w:p>
    <w:p w14:paraId="0CAE498B">
      <w:pPr>
        <w:ind w:firstLine="560"/>
        <w:rPr>
          <w:color w:val="auto"/>
        </w:rPr>
      </w:pPr>
      <w:bookmarkStart w:id="21" w:name="_Toc17567"/>
      <w:r>
        <w:rPr>
          <w:rFonts w:hint="eastAsia"/>
          <w:color w:val="auto"/>
          <w:lang w:eastAsia="zh-CN"/>
        </w:rPr>
        <w:t>福州市延安中学教育集团国福校区</w:t>
      </w:r>
      <w:r>
        <w:rPr>
          <w:color w:val="auto"/>
        </w:rPr>
        <w:t>计划开工时间为</w:t>
      </w: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color w:val="auto"/>
        </w:rPr>
        <w:t>计划完工时间为</w:t>
      </w:r>
      <w:r>
        <w:rPr>
          <w:rFonts w:hint="eastAsia"/>
          <w:color w:val="auto"/>
        </w:rPr>
        <w:t>20</w:t>
      </w:r>
      <w:r>
        <w:rPr>
          <w:rFonts w:hint="eastAsia"/>
          <w:color w:val="auto"/>
          <w:lang w:val="en-US" w:eastAsia="zh-CN"/>
        </w:rPr>
        <w:t>26</w:t>
      </w:r>
      <w:r>
        <w:rPr>
          <w:rFonts w:hint="eastAsia"/>
          <w:color w:val="auto"/>
        </w:rPr>
        <w:t>年</w:t>
      </w:r>
      <w:r>
        <w:rPr>
          <w:rFonts w:hint="eastAsia"/>
          <w:color w:val="auto"/>
          <w:lang w:val="en-US" w:eastAsia="zh-CN"/>
        </w:rPr>
        <w:t>5</w:t>
      </w:r>
      <w:r>
        <w:rPr>
          <w:rFonts w:hint="eastAsia"/>
          <w:color w:val="auto"/>
        </w:rPr>
        <w:t>月</w:t>
      </w:r>
      <w:r>
        <w:rPr>
          <w:color w:val="auto"/>
        </w:rPr>
        <w:t>，实际开工时间为</w:t>
      </w:r>
      <w:r>
        <w:rPr>
          <w:rFonts w:hint="eastAsia"/>
          <w:color w:val="auto"/>
          <w:lang w:eastAsia="zh-CN"/>
        </w:rPr>
        <w:t>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7</w:t>
      </w:r>
      <w:r>
        <w:rPr>
          <w:rFonts w:hint="eastAsia"/>
          <w:color w:val="auto"/>
          <w:lang w:eastAsia="zh-CN"/>
        </w:rPr>
        <w:t>日</w:t>
      </w:r>
      <w:r>
        <w:rPr>
          <w:color w:val="auto"/>
        </w:rPr>
        <w:t>，实际完工时间为</w:t>
      </w:r>
      <w:r>
        <w:rPr>
          <w:rFonts w:hint="eastAsia"/>
          <w:color w:val="auto"/>
          <w:lang w:eastAsia="zh-CN"/>
        </w:rPr>
        <w:t>202</w:t>
      </w:r>
      <w:r>
        <w:rPr>
          <w:rFonts w:hint="eastAsia"/>
          <w:color w:val="auto"/>
          <w:lang w:val="en-US" w:eastAsia="zh-CN"/>
        </w:rPr>
        <w:t>5</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30</w:t>
      </w:r>
      <w:r>
        <w:rPr>
          <w:rFonts w:hint="eastAsia"/>
          <w:color w:val="auto"/>
          <w:lang w:eastAsia="zh-CN"/>
        </w:rPr>
        <w:t>日</w:t>
      </w:r>
      <w:r>
        <w:rPr>
          <w:color w:val="auto"/>
        </w:rPr>
        <w:t>，实际总工期</w:t>
      </w:r>
      <w:r>
        <w:rPr>
          <w:rFonts w:hint="eastAsia"/>
          <w:color w:val="auto"/>
        </w:rPr>
        <w:t>为</w:t>
      </w:r>
      <w:r>
        <w:rPr>
          <w:rFonts w:hint="eastAsia"/>
          <w:color w:val="auto"/>
          <w:lang w:val="en-US" w:eastAsia="zh-CN"/>
        </w:rPr>
        <w:t>25个月</w:t>
      </w:r>
      <w:r>
        <w:rPr>
          <w:color w:val="auto"/>
        </w:rPr>
        <w:t>。</w:t>
      </w:r>
    </w:p>
    <w:p w14:paraId="693FBB4F">
      <w:pPr>
        <w:pStyle w:val="4"/>
        <w:widowControl/>
        <w:rPr>
          <w:rFonts w:eastAsia="仿宋"/>
          <w:color w:val="auto"/>
          <w:kern w:val="0"/>
        </w:rPr>
      </w:pPr>
      <w:r>
        <w:rPr>
          <w:rFonts w:eastAsia="仿宋"/>
          <w:color w:val="auto"/>
          <w:kern w:val="0"/>
        </w:rPr>
        <w:t>1.1.6土石方情况</w:t>
      </w:r>
      <w:bookmarkEnd w:id="21"/>
    </w:p>
    <w:p w14:paraId="29D969A5">
      <w:pPr>
        <w:ind w:firstLine="560"/>
        <w:rPr>
          <w:rFonts w:hint="eastAsia" w:ascii="Times New Roman" w:hAnsi="Times New Roman" w:eastAsia="仿宋" w:cs="Times New Roman"/>
          <w:color w:val="auto"/>
        </w:rPr>
      </w:pPr>
      <w:bookmarkStart w:id="22" w:name="_Toc16287"/>
      <w:r>
        <w:rPr>
          <w:rFonts w:hint="eastAsia" w:ascii="Times New Roman" w:hAnsi="Times New Roman" w:eastAsia="仿宋" w:cs="Times New Roman"/>
          <w:color w:val="auto"/>
        </w:rPr>
        <w:t>本项目土石方挖填总量11.265万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，其中挖方8.88万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，填方2.385万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，无借方，余方6.495万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。本项目余方6.495万</w:t>
      </w:r>
      <w:r>
        <w:rPr>
          <w:rFonts w:hint="eastAsia" w:ascii="Times New Roman" w:hAnsi="Times New Roman" w:eastAsia="仿宋" w:cs="Times New Roman"/>
          <w:color w:val="auto"/>
          <w:lang w:eastAsia="zh-CN"/>
        </w:rPr>
        <w:t>m</w:t>
      </w:r>
      <w:r>
        <w:rPr>
          <w:rFonts w:hint="eastAsia" w:ascii="Times New Roman" w:hAnsi="Times New Roman" w:eastAsia="仿宋" w:cs="Times New Roman"/>
          <w:color w:val="auto"/>
          <w:vertAlign w:val="superscript"/>
          <w:lang w:eastAsia="zh-CN"/>
        </w:rPr>
        <w:t>3</w:t>
      </w:r>
      <w:r>
        <w:rPr>
          <w:rFonts w:hint="eastAsia" w:ascii="Times New Roman" w:hAnsi="Times New Roman" w:eastAsia="仿宋" w:cs="Times New Roman"/>
          <w:color w:val="auto"/>
        </w:rPr>
        <w:t>已由福建正榕运输有限公司根据福州市</w:t>
      </w:r>
      <w:r>
        <w:rPr>
          <w:rFonts w:hint="eastAsia" w:ascii="Times New Roman" w:hAnsi="Times New Roman" w:eastAsia="仿宋" w:cs="Times New Roman"/>
          <w:color w:val="auto"/>
          <w:lang w:val="en-US" w:eastAsia="zh-CN"/>
        </w:rPr>
        <w:t>城市</w:t>
      </w:r>
      <w:r>
        <w:rPr>
          <w:rFonts w:hint="eastAsia" w:ascii="Times New Roman" w:hAnsi="Times New Roman" w:eastAsia="仿宋" w:cs="Times New Roman"/>
          <w:color w:val="auto"/>
        </w:rPr>
        <w:t>管理委员会出具的建筑垃圾运输单外运至央座公馆（一区）及鲁能福苑项目。</w:t>
      </w:r>
    </w:p>
    <w:p w14:paraId="6C419442">
      <w:pPr>
        <w:pStyle w:val="4"/>
        <w:widowControl/>
        <w:rPr>
          <w:rFonts w:eastAsia="仿宋"/>
          <w:color w:val="auto"/>
          <w:szCs w:val="28"/>
        </w:rPr>
      </w:pPr>
      <w:r>
        <w:rPr>
          <w:rFonts w:eastAsia="仿宋"/>
          <w:color w:val="auto"/>
          <w:szCs w:val="28"/>
        </w:rPr>
        <w:t>1.1.7征占地情况</w:t>
      </w:r>
      <w:bookmarkEnd w:id="22"/>
    </w:p>
    <w:p w14:paraId="1307CBF2">
      <w:pPr>
        <w:ind w:firstLine="560"/>
        <w:rPr>
          <w:rFonts w:hint="default" w:ascii="Times New Roman" w:hAnsi="Times New Roman" w:eastAsia="仿宋" w:cs="Times New Roman"/>
        </w:rPr>
      </w:pPr>
      <w:bookmarkStart w:id="23" w:name="_Toc20101"/>
      <w:bookmarkStart w:id="24" w:name="_Toc7474"/>
      <w:r>
        <w:rPr>
          <w:rFonts w:hint="default" w:ascii="Times New Roman" w:hAnsi="Times New Roman" w:eastAsia="仿宋" w:cs="Times New Roman"/>
          <w:color w:val="auto"/>
          <w:kern w:val="0"/>
          <w:szCs w:val="28"/>
        </w:rPr>
        <w:t>本项目水土流失防治责任范围</w:t>
      </w:r>
      <w:r>
        <w:rPr>
          <w:rFonts w:hint="eastAsia" w:eastAsia="仿宋" w:cs="Times New Roman"/>
          <w:lang w:val="en-US" w:eastAsia="zh-CN"/>
        </w:rPr>
        <w:t>2.90h</w:t>
      </w:r>
      <w:r>
        <w:rPr>
          <w:rFonts w:hint="eastAsia" w:eastAsia="仿宋"/>
          <w:color w:val="auto"/>
          <w:lang w:eastAsia="zh-CN"/>
        </w:rPr>
        <w:t>m</w:t>
      </w:r>
      <w:r>
        <w:rPr>
          <w:rFonts w:hint="eastAsia" w:eastAsia="仿宋"/>
          <w:color w:val="auto"/>
          <w:vertAlign w:val="superscript"/>
          <w:lang w:eastAsia="zh-CN"/>
        </w:rPr>
        <w:t>2</w:t>
      </w:r>
      <w:r>
        <w:rPr>
          <w:rFonts w:hint="default" w:ascii="Times New Roman" w:hAnsi="Times New Roman" w:eastAsia="仿宋" w:cs="Times New Roman"/>
        </w:rPr>
        <w:t>，其中永久占地</w:t>
      </w:r>
      <w:r>
        <w:rPr>
          <w:rFonts w:hint="eastAsia" w:ascii="Times New Roman" w:hAnsi="Times New Roman" w:eastAsia="仿宋" w:cs="Times New Roman"/>
          <w:lang w:val="en-US" w:eastAsia="zh-CN"/>
        </w:rPr>
        <w:t>2.65h</w:t>
      </w:r>
      <w:r>
        <w:rPr>
          <w:rFonts w:hint="eastAsia" w:eastAsia="仿宋"/>
          <w:color w:val="auto"/>
          <w:lang w:eastAsia="zh-CN"/>
        </w:rPr>
        <w:t>m</w:t>
      </w:r>
      <w:r>
        <w:rPr>
          <w:rFonts w:hint="eastAsia" w:eastAsia="仿宋"/>
          <w:color w:val="auto"/>
          <w:vertAlign w:val="superscript"/>
          <w:lang w:eastAsia="zh-CN"/>
        </w:rPr>
        <w:t>2</w:t>
      </w:r>
      <w:r>
        <w:rPr>
          <w:rFonts w:hint="default" w:ascii="Times New Roman" w:hAnsi="Times New Roman" w:eastAsia="仿宋" w:cs="Times New Roman"/>
        </w:rPr>
        <w:t>，临时占地</w:t>
      </w:r>
      <w:r>
        <w:rPr>
          <w:rFonts w:hint="eastAsia" w:ascii="Times New Roman" w:hAnsi="Times New Roman" w:eastAsia="仿宋" w:cs="Times New Roman"/>
          <w:lang w:val="en-US" w:eastAsia="zh-CN"/>
        </w:rPr>
        <w:t>0.70h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（其中</w:t>
      </w:r>
      <w:r>
        <w:rPr>
          <w:rFonts w:hint="eastAsia" w:ascii="Times New Roman" w:hAnsi="Times New Roman" w:eastAsia="仿宋" w:cs="Times New Roman"/>
          <w:lang w:val="en-US" w:eastAsia="zh-CN"/>
        </w:rPr>
        <w:t>0.45h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临时占地布设于征地红线内，</w:t>
      </w:r>
      <w:r>
        <w:rPr>
          <w:rFonts w:hint="eastAsia" w:ascii="Times New Roman" w:hAnsi="Times New Roman" w:eastAsia="仿宋" w:cs="Times New Roman"/>
          <w:lang w:val="en-US" w:eastAsia="zh-CN"/>
        </w:rPr>
        <w:t>0.25h</w:t>
      </w:r>
      <w:r>
        <w:rPr>
          <w:rFonts w:hint="eastAsia" w:ascii="Times New Roman" w:hAnsi="Times New Roman" w:eastAsia="仿宋" w:cs="Times New Roman"/>
          <w:lang w:eastAsia="zh-CN"/>
        </w:rPr>
        <w:t>m</w:t>
      </w:r>
      <w:r>
        <w:rPr>
          <w:rFonts w:hint="eastAsia" w:ascii="Times New Roman" w:hAnsi="Times New Roman" w:eastAsia="仿宋" w:cs="Times New Roman"/>
          <w:vertAlign w:val="superscript"/>
          <w:lang w:eastAsia="zh-CN"/>
        </w:rPr>
        <w:t>2</w:t>
      </w:r>
      <w:r>
        <w:rPr>
          <w:rFonts w:hint="default" w:ascii="Times New Roman" w:hAnsi="Times New Roman" w:eastAsia="仿宋" w:cs="Times New Roman"/>
        </w:rPr>
        <w:t>临时占地布设于征地红线外）。</w:t>
      </w:r>
    </w:p>
    <w:p w14:paraId="68E23738">
      <w:pPr>
        <w:ind w:firstLine="560"/>
        <w:rPr>
          <w:color w:val="auto"/>
        </w:rPr>
      </w:pPr>
      <w:r>
        <w:rPr>
          <w:color w:val="auto"/>
        </w:rPr>
        <w:t>项目组成、占地性质、占地类型、占地面积等情况详见下表。</w:t>
      </w:r>
    </w:p>
    <w:p w14:paraId="7AD81A2D">
      <w:pPr>
        <w:pStyle w:val="20"/>
        <w:rPr>
          <w:rFonts w:hint="eastAsia"/>
          <w:color w:val="auto"/>
          <w:vertAlign w:val="superscript"/>
        </w:rPr>
      </w:pPr>
      <w:r>
        <w:rPr>
          <w:color w:val="auto"/>
        </w:rPr>
        <w:t>表</w:t>
      </w:r>
      <w:r>
        <w:rPr>
          <w:rFonts w:hint="eastAsia"/>
          <w:color w:val="auto"/>
        </w:rPr>
        <w:t>1-1</w:t>
      </w:r>
      <w:r>
        <w:rPr>
          <w:color w:val="auto"/>
        </w:rPr>
        <w:t xml:space="preserve"> 工程征占地情况表</w:t>
      </w:r>
      <w:r>
        <w:rPr>
          <w:rFonts w:hint="eastAsia"/>
          <w:color w:val="auto"/>
        </w:rPr>
        <w:t xml:space="preserve"> </w:t>
      </w:r>
    </w:p>
    <w:tbl>
      <w:tblPr>
        <w:tblStyle w:val="22"/>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53"/>
        <w:gridCol w:w="1951"/>
        <w:gridCol w:w="1225"/>
        <w:gridCol w:w="1728"/>
        <w:gridCol w:w="1864"/>
        <w:gridCol w:w="1582"/>
      </w:tblGrid>
      <w:tr w14:paraId="43E067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6" w:hRule="atLeast"/>
          <w:jc w:val="center"/>
        </w:trPr>
        <w:tc>
          <w:tcPr>
            <w:tcW w:w="653" w:type="dxa"/>
            <w:vMerge w:val="restart"/>
            <w:tcBorders>
              <w:tl2br w:val="nil"/>
              <w:tr2bl w:val="nil"/>
            </w:tcBorders>
            <w:noWrap w:val="0"/>
            <w:vAlign w:val="center"/>
          </w:tcPr>
          <w:p w14:paraId="2E0C715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序号</w:t>
            </w:r>
          </w:p>
        </w:tc>
        <w:tc>
          <w:tcPr>
            <w:tcW w:w="1951" w:type="dxa"/>
            <w:vMerge w:val="restart"/>
            <w:tcBorders>
              <w:tl2br w:val="nil"/>
              <w:tr2bl w:val="nil"/>
            </w:tcBorders>
            <w:noWrap w:val="0"/>
            <w:vAlign w:val="center"/>
          </w:tcPr>
          <w:p w14:paraId="7CDDED1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项目</w:t>
            </w:r>
          </w:p>
        </w:tc>
        <w:tc>
          <w:tcPr>
            <w:tcW w:w="1225" w:type="dxa"/>
            <w:vMerge w:val="restart"/>
            <w:tcBorders>
              <w:tl2br w:val="nil"/>
              <w:tr2bl w:val="nil"/>
            </w:tcBorders>
            <w:noWrap w:val="0"/>
            <w:vAlign w:val="center"/>
          </w:tcPr>
          <w:p w14:paraId="4D788CD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小计</w:t>
            </w:r>
          </w:p>
        </w:tc>
        <w:tc>
          <w:tcPr>
            <w:tcW w:w="3592" w:type="dxa"/>
            <w:gridSpan w:val="2"/>
            <w:tcBorders>
              <w:tl2br w:val="nil"/>
              <w:tr2bl w:val="nil"/>
            </w:tcBorders>
            <w:noWrap w:val="0"/>
            <w:vAlign w:val="center"/>
          </w:tcPr>
          <w:p w14:paraId="33E042F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项目 占地类型及面积（h</w:t>
            </w:r>
            <w:r>
              <w:rPr>
                <w:rFonts w:hint="eastAsia" w:ascii="Times New Roman" w:hAnsi="Times New Roman" w:eastAsia="仿宋" w:cs="Times New Roman"/>
                <w:color w:val="auto"/>
                <w:kern w:val="0"/>
                <w:sz w:val="24"/>
                <w:szCs w:val="24"/>
                <w:lang w:eastAsia="zh-CN"/>
              </w:rPr>
              <w:t>m</w:t>
            </w:r>
            <w:r>
              <w:rPr>
                <w:rFonts w:hint="eastAsia" w:ascii="Times New Roman" w:hAnsi="Times New Roman" w:eastAsia="仿宋" w:cs="Times New Roman"/>
                <w:color w:val="auto"/>
                <w:kern w:val="0"/>
                <w:sz w:val="24"/>
                <w:szCs w:val="24"/>
                <w:vertAlign w:val="superscript"/>
                <w:lang w:eastAsia="zh-CN"/>
              </w:rPr>
              <w:t>2</w:t>
            </w:r>
            <w:r>
              <w:rPr>
                <w:rFonts w:hint="default" w:ascii="Times New Roman" w:hAnsi="Times New Roman" w:eastAsia="仿宋" w:cs="Times New Roman"/>
                <w:color w:val="auto"/>
                <w:kern w:val="0"/>
                <w:sz w:val="24"/>
                <w:szCs w:val="24"/>
              </w:rPr>
              <w:t>）</w:t>
            </w:r>
          </w:p>
        </w:tc>
        <w:tc>
          <w:tcPr>
            <w:tcW w:w="1582" w:type="dxa"/>
            <w:vMerge w:val="restart"/>
            <w:tcBorders>
              <w:tl2br w:val="nil"/>
              <w:tr2bl w:val="nil"/>
            </w:tcBorders>
            <w:noWrap w:val="0"/>
            <w:vAlign w:val="center"/>
          </w:tcPr>
          <w:p w14:paraId="57EBF3A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备注</w:t>
            </w:r>
          </w:p>
        </w:tc>
      </w:tr>
      <w:tr w14:paraId="3BD43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653" w:type="dxa"/>
            <w:vMerge w:val="continue"/>
            <w:tcBorders>
              <w:tl2br w:val="nil"/>
              <w:tr2bl w:val="nil"/>
            </w:tcBorders>
            <w:noWrap w:val="0"/>
            <w:vAlign w:val="center"/>
          </w:tcPr>
          <w:p w14:paraId="37D606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951" w:type="dxa"/>
            <w:vMerge w:val="continue"/>
            <w:tcBorders>
              <w:tl2br w:val="nil"/>
              <w:tr2bl w:val="nil"/>
            </w:tcBorders>
            <w:noWrap w:val="0"/>
            <w:vAlign w:val="center"/>
          </w:tcPr>
          <w:p w14:paraId="7F90B48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225" w:type="dxa"/>
            <w:vMerge w:val="continue"/>
            <w:tcBorders>
              <w:tl2br w:val="nil"/>
              <w:tr2bl w:val="nil"/>
            </w:tcBorders>
            <w:noWrap w:val="0"/>
            <w:vAlign w:val="center"/>
          </w:tcPr>
          <w:p w14:paraId="236A582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728" w:type="dxa"/>
            <w:tcBorders>
              <w:tl2br w:val="nil"/>
              <w:tr2bl w:val="nil"/>
            </w:tcBorders>
            <w:noWrap w:val="0"/>
            <w:vAlign w:val="center"/>
          </w:tcPr>
          <w:p w14:paraId="100A432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教育用地</w:t>
            </w:r>
          </w:p>
        </w:tc>
        <w:tc>
          <w:tcPr>
            <w:tcW w:w="1864" w:type="dxa"/>
            <w:tcBorders>
              <w:tl2br w:val="nil"/>
              <w:tr2bl w:val="nil"/>
            </w:tcBorders>
            <w:noWrap w:val="0"/>
            <w:vAlign w:val="center"/>
          </w:tcPr>
          <w:p w14:paraId="1EB2648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交通运输用地</w:t>
            </w:r>
          </w:p>
        </w:tc>
        <w:tc>
          <w:tcPr>
            <w:tcW w:w="1582" w:type="dxa"/>
            <w:vMerge w:val="continue"/>
            <w:tcBorders>
              <w:tl2br w:val="nil"/>
              <w:tr2bl w:val="nil"/>
            </w:tcBorders>
            <w:noWrap w:val="0"/>
            <w:vAlign w:val="center"/>
          </w:tcPr>
          <w:p w14:paraId="4C6685A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r>
      <w:tr w14:paraId="5FD21A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653" w:type="dxa"/>
            <w:tcBorders>
              <w:tl2br w:val="nil"/>
              <w:tr2bl w:val="nil"/>
            </w:tcBorders>
            <w:noWrap w:val="0"/>
            <w:vAlign w:val="center"/>
          </w:tcPr>
          <w:p w14:paraId="3648B40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1</w:t>
            </w:r>
          </w:p>
        </w:tc>
        <w:tc>
          <w:tcPr>
            <w:tcW w:w="1951" w:type="dxa"/>
            <w:tcBorders>
              <w:tl2br w:val="nil"/>
              <w:tr2bl w:val="nil"/>
            </w:tcBorders>
            <w:noWrap w:val="0"/>
            <w:vAlign w:val="center"/>
          </w:tcPr>
          <w:p w14:paraId="1C7299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主体工程区</w:t>
            </w:r>
          </w:p>
        </w:tc>
        <w:tc>
          <w:tcPr>
            <w:tcW w:w="1225" w:type="dxa"/>
            <w:tcBorders>
              <w:tl2br w:val="nil"/>
              <w:tr2bl w:val="nil"/>
            </w:tcBorders>
            <w:noWrap w:val="0"/>
            <w:vAlign w:val="center"/>
          </w:tcPr>
          <w:p w14:paraId="677F557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2.65</w:t>
            </w:r>
          </w:p>
        </w:tc>
        <w:tc>
          <w:tcPr>
            <w:tcW w:w="1728" w:type="dxa"/>
            <w:tcBorders>
              <w:tl2br w:val="nil"/>
              <w:tr2bl w:val="nil"/>
            </w:tcBorders>
            <w:noWrap w:val="0"/>
            <w:vAlign w:val="center"/>
          </w:tcPr>
          <w:p w14:paraId="708CDAD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2.65</w:t>
            </w:r>
          </w:p>
        </w:tc>
        <w:tc>
          <w:tcPr>
            <w:tcW w:w="1864" w:type="dxa"/>
            <w:tcBorders>
              <w:tl2br w:val="nil"/>
              <w:tr2bl w:val="nil"/>
            </w:tcBorders>
            <w:noWrap w:val="0"/>
            <w:vAlign w:val="center"/>
          </w:tcPr>
          <w:p w14:paraId="6910D17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ascii="Times New Roman" w:hAnsi="Times New Roman" w:eastAsia="仿宋" w:cs="Times New Roman"/>
                <w:color w:val="auto"/>
                <w:kern w:val="0"/>
                <w:sz w:val="24"/>
                <w:szCs w:val="24"/>
                <w:lang w:val="en-US" w:eastAsia="zh-CN"/>
              </w:rPr>
              <w:t>/</w:t>
            </w:r>
          </w:p>
        </w:tc>
        <w:tc>
          <w:tcPr>
            <w:tcW w:w="1582" w:type="dxa"/>
            <w:tcBorders>
              <w:tl2br w:val="nil"/>
              <w:tr2bl w:val="nil"/>
            </w:tcBorders>
            <w:noWrap w:val="0"/>
            <w:vAlign w:val="center"/>
          </w:tcPr>
          <w:p w14:paraId="3ECFD19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永久占地</w:t>
            </w:r>
          </w:p>
        </w:tc>
      </w:tr>
      <w:tr w14:paraId="05410DE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653" w:type="dxa"/>
            <w:vMerge w:val="restart"/>
            <w:tcBorders>
              <w:tl2br w:val="nil"/>
              <w:tr2bl w:val="nil"/>
            </w:tcBorders>
            <w:noWrap w:val="0"/>
            <w:vAlign w:val="center"/>
          </w:tcPr>
          <w:p w14:paraId="41020B7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2</w:t>
            </w:r>
          </w:p>
        </w:tc>
        <w:tc>
          <w:tcPr>
            <w:tcW w:w="1951" w:type="dxa"/>
            <w:vMerge w:val="restart"/>
            <w:tcBorders>
              <w:tl2br w:val="nil"/>
              <w:tr2bl w:val="nil"/>
            </w:tcBorders>
            <w:noWrap w:val="0"/>
            <w:vAlign w:val="center"/>
          </w:tcPr>
          <w:p w14:paraId="5C379E7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施工便道</w:t>
            </w:r>
          </w:p>
        </w:tc>
        <w:tc>
          <w:tcPr>
            <w:tcW w:w="1225" w:type="dxa"/>
            <w:tcBorders>
              <w:tl2br w:val="nil"/>
              <w:tr2bl w:val="nil"/>
            </w:tcBorders>
            <w:noWrap w:val="0"/>
            <w:vAlign w:val="center"/>
          </w:tcPr>
          <w:p w14:paraId="445F696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0.35</w:t>
            </w:r>
            <w:r>
              <w:rPr>
                <w:rFonts w:hint="eastAsia" w:eastAsia="仿宋" w:cs="Times New Roman"/>
                <w:color w:val="auto"/>
                <w:kern w:val="0"/>
                <w:sz w:val="24"/>
                <w:szCs w:val="24"/>
                <w:lang w:eastAsia="zh-CN"/>
              </w:rPr>
              <w:t>)</w:t>
            </w:r>
          </w:p>
        </w:tc>
        <w:tc>
          <w:tcPr>
            <w:tcW w:w="1728" w:type="dxa"/>
            <w:tcBorders>
              <w:tl2br w:val="nil"/>
              <w:tr2bl w:val="nil"/>
            </w:tcBorders>
            <w:noWrap w:val="0"/>
            <w:vAlign w:val="center"/>
          </w:tcPr>
          <w:p w14:paraId="15657A2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0.35</w:t>
            </w:r>
            <w:r>
              <w:rPr>
                <w:rFonts w:hint="eastAsia" w:eastAsia="仿宋" w:cs="Times New Roman"/>
                <w:color w:val="auto"/>
                <w:kern w:val="0"/>
                <w:sz w:val="24"/>
                <w:szCs w:val="24"/>
                <w:lang w:eastAsia="zh-CN"/>
              </w:rPr>
              <w:t>)</w:t>
            </w:r>
          </w:p>
        </w:tc>
        <w:tc>
          <w:tcPr>
            <w:tcW w:w="1864" w:type="dxa"/>
            <w:tcBorders>
              <w:tl2br w:val="nil"/>
              <w:tr2bl w:val="nil"/>
            </w:tcBorders>
            <w:noWrap w:val="0"/>
            <w:vAlign w:val="center"/>
          </w:tcPr>
          <w:p w14:paraId="5DF8DE8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ascii="Times New Roman" w:hAnsi="Times New Roman" w:eastAsia="仿宋" w:cs="Times New Roman"/>
                <w:color w:val="auto"/>
                <w:kern w:val="0"/>
                <w:sz w:val="24"/>
                <w:szCs w:val="24"/>
                <w:lang w:val="en-US" w:eastAsia="zh-CN"/>
              </w:rPr>
              <w:t>/</w:t>
            </w:r>
          </w:p>
        </w:tc>
        <w:tc>
          <w:tcPr>
            <w:tcW w:w="1582" w:type="dxa"/>
            <w:vMerge w:val="restart"/>
            <w:tcBorders>
              <w:tl2br w:val="nil"/>
              <w:tr2bl w:val="nil"/>
            </w:tcBorders>
            <w:noWrap w:val="0"/>
            <w:vAlign w:val="center"/>
          </w:tcPr>
          <w:p w14:paraId="7A4E00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临时占地</w:t>
            </w:r>
          </w:p>
        </w:tc>
      </w:tr>
      <w:tr w14:paraId="2A2680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653" w:type="dxa"/>
            <w:vMerge w:val="continue"/>
            <w:tcBorders>
              <w:tl2br w:val="nil"/>
              <w:tr2bl w:val="nil"/>
            </w:tcBorders>
            <w:noWrap w:val="0"/>
            <w:vAlign w:val="center"/>
          </w:tcPr>
          <w:p w14:paraId="481939A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951" w:type="dxa"/>
            <w:vMerge w:val="continue"/>
            <w:tcBorders>
              <w:tl2br w:val="nil"/>
              <w:tr2bl w:val="nil"/>
            </w:tcBorders>
            <w:noWrap w:val="0"/>
            <w:vAlign w:val="center"/>
          </w:tcPr>
          <w:p w14:paraId="73468BE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c>
          <w:tcPr>
            <w:tcW w:w="1225" w:type="dxa"/>
            <w:tcBorders>
              <w:tl2br w:val="nil"/>
              <w:tr2bl w:val="nil"/>
            </w:tcBorders>
            <w:noWrap w:val="0"/>
            <w:vAlign w:val="center"/>
          </w:tcPr>
          <w:p w14:paraId="5E3A986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0.02</w:t>
            </w:r>
          </w:p>
        </w:tc>
        <w:tc>
          <w:tcPr>
            <w:tcW w:w="1728" w:type="dxa"/>
            <w:tcBorders>
              <w:tl2br w:val="nil"/>
              <w:tr2bl w:val="nil"/>
            </w:tcBorders>
            <w:noWrap w:val="0"/>
            <w:vAlign w:val="center"/>
          </w:tcPr>
          <w:p w14:paraId="6FA7286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 w:cs="Times New Roman"/>
                <w:color w:val="auto"/>
                <w:kern w:val="0"/>
                <w:sz w:val="24"/>
                <w:szCs w:val="24"/>
                <w:lang w:eastAsia="zh-CN"/>
              </w:rPr>
            </w:pPr>
            <w:r>
              <w:rPr>
                <w:rFonts w:hint="eastAsia" w:ascii="Times New Roman" w:hAnsi="Times New Roman" w:eastAsia="仿宋" w:cs="Times New Roman"/>
                <w:color w:val="auto"/>
                <w:kern w:val="0"/>
                <w:sz w:val="24"/>
                <w:szCs w:val="24"/>
                <w:lang w:val="en-US" w:eastAsia="zh-CN"/>
              </w:rPr>
              <w:t>/</w:t>
            </w:r>
          </w:p>
        </w:tc>
        <w:tc>
          <w:tcPr>
            <w:tcW w:w="1864" w:type="dxa"/>
            <w:tcBorders>
              <w:tl2br w:val="nil"/>
              <w:tr2bl w:val="nil"/>
            </w:tcBorders>
            <w:noWrap w:val="0"/>
            <w:vAlign w:val="center"/>
          </w:tcPr>
          <w:p w14:paraId="5C4E675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0.02</w:t>
            </w:r>
          </w:p>
        </w:tc>
        <w:tc>
          <w:tcPr>
            <w:tcW w:w="1582" w:type="dxa"/>
            <w:vMerge w:val="continue"/>
            <w:tcBorders>
              <w:tl2br w:val="nil"/>
              <w:tr2bl w:val="nil"/>
            </w:tcBorders>
            <w:noWrap w:val="0"/>
            <w:vAlign w:val="center"/>
          </w:tcPr>
          <w:p w14:paraId="629CCEB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r>
      <w:tr w14:paraId="7ADEEC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4" w:hRule="atLeast"/>
          <w:jc w:val="center"/>
        </w:trPr>
        <w:tc>
          <w:tcPr>
            <w:tcW w:w="653" w:type="dxa"/>
            <w:tcBorders>
              <w:tl2br w:val="nil"/>
              <w:tr2bl w:val="nil"/>
            </w:tcBorders>
            <w:noWrap w:val="0"/>
            <w:vAlign w:val="center"/>
          </w:tcPr>
          <w:p w14:paraId="7272EE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3</w:t>
            </w:r>
          </w:p>
        </w:tc>
        <w:tc>
          <w:tcPr>
            <w:tcW w:w="1951" w:type="dxa"/>
            <w:tcBorders>
              <w:tl2br w:val="nil"/>
              <w:tr2bl w:val="nil"/>
            </w:tcBorders>
            <w:noWrap w:val="0"/>
            <w:vAlign w:val="center"/>
          </w:tcPr>
          <w:p w14:paraId="722ABFA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施工生产生活区</w:t>
            </w:r>
          </w:p>
        </w:tc>
        <w:tc>
          <w:tcPr>
            <w:tcW w:w="1225" w:type="dxa"/>
            <w:tcBorders>
              <w:tl2br w:val="nil"/>
              <w:tr2bl w:val="nil"/>
            </w:tcBorders>
            <w:noWrap w:val="0"/>
            <w:vAlign w:val="center"/>
          </w:tcPr>
          <w:p w14:paraId="5DDB569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0.23</w:t>
            </w:r>
          </w:p>
        </w:tc>
        <w:tc>
          <w:tcPr>
            <w:tcW w:w="1728" w:type="dxa"/>
            <w:tcBorders>
              <w:tl2br w:val="nil"/>
              <w:tr2bl w:val="nil"/>
            </w:tcBorders>
            <w:noWrap w:val="0"/>
            <w:vAlign w:val="center"/>
          </w:tcPr>
          <w:p w14:paraId="6A93E6A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ascii="Times New Roman" w:hAnsi="Times New Roman" w:eastAsia="仿宋" w:cs="Times New Roman"/>
                <w:color w:val="auto"/>
                <w:kern w:val="0"/>
                <w:sz w:val="24"/>
                <w:szCs w:val="24"/>
                <w:lang w:val="en-US" w:eastAsia="zh-CN"/>
              </w:rPr>
              <w:t>/</w:t>
            </w:r>
          </w:p>
        </w:tc>
        <w:tc>
          <w:tcPr>
            <w:tcW w:w="1864" w:type="dxa"/>
            <w:tcBorders>
              <w:tl2br w:val="nil"/>
              <w:tr2bl w:val="nil"/>
            </w:tcBorders>
            <w:noWrap w:val="0"/>
            <w:vAlign w:val="center"/>
          </w:tcPr>
          <w:p w14:paraId="41DF3AA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0.23</w:t>
            </w:r>
          </w:p>
        </w:tc>
        <w:tc>
          <w:tcPr>
            <w:tcW w:w="1582" w:type="dxa"/>
            <w:tcBorders>
              <w:tl2br w:val="nil"/>
              <w:tr2bl w:val="nil"/>
            </w:tcBorders>
            <w:noWrap w:val="0"/>
            <w:vAlign w:val="center"/>
          </w:tcPr>
          <w:p w14:paraId="05618F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临时占地</w:t>
            </w:r>
          </w:p>
        </w:tc>
      </w:tr>
      <w:tr w14:paraId="11283C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653" w:type="dxa"/>
            <w:tcBorders>
              <w:tl2br w:val="nil"/>
              <w:tr2bl w:val="nil"/>
            </w:tcBorders>
            <w:noWrap w:val="0"/>
            <w:vAlign w:val="center"/>
          </w:tcPr>
          <w:p w14:paraId="2A26EB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4</w:t>
            </w:r>
          </w:p>
        </w:tc>
        <w:tc>
          <w:tcPr>
            <w:tcW w:w="1951" w:type="dxa"/>
            <w:tcBorders>
              <w:tl2br w:val="nil"/>
              <w:tr2bl w:val="nil"/>
            </w:tcBorders>
            <w:noWrap w:val="0"/>
            <w:vAlign w:val="center"/>
          </w:tcPr>
          <w:p w14:paraId="6DA190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土方临时堆场</w:t>
            </w:r>
          </w:p>
        </w:tc>
        <w:tc>
          <w:tcPr>
            <w:tcW w:w="1225" w:type="dxa"/>
            <w:tcBorders>
              <w:tl2br w:val="nil"/>
              <w:tr2bl w:val="nil"/>
            </w:tcBorders>
            <w:noWrap w:val="0"/>
            <w:vAlign w:val="center"/>
          </w:tcPr>
          <w:p w14:paraId="0BC5635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0.10</w:t>
            </w:r>
            <w:r>
              <w:rPr>
                <w:rFonts w:hint="eastAsia" w:eastAsia="仿宋" w:cs="Times New Roman"/>
                <w:color w:val="auto"/>
                <w:kern w:val="0"/>
                <w:sz w:val="24"/>
                <w:szCs w:val="24"/>
                <w:lang w:eastAsia="zh-CN"/>
              </w:rPr>
              <w:t>)</w:t>
            </w:r>
          </w:p>
        </w:tc>
        <w:tc>
          <w:tcPr>
            <w:tcW w:w="1728" w:type="dxa"/>
            <w:tcBorders>
              <w:tl2br w:val="nil"/>
              <w:tr2bl w:val="nil"/>
            </w:tcBorders>
            <w:noWrap w:val="0"/>
            <w:vAlign w:val="center"/>
          </w:tcPr>
          <w:p w14:paraId="1CA48D7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0.10</w:t>
            </w:r>
            <w:r>
              <w:rPr>
                <w:rFonts w:hint="eastAsia" w:eastAsia="仿宋" w:cs="Times New Roman"/>
                <w:color w:val="auto"/>
                <w:kern w:val="0"/>
                <w:sz w:val="24"/>
                <w:szCs w:val="24"/>
                <w:lang w:eastAsia="zh-CN"/>
              </w:rPr>
              <w:t>)</w:t>
            </w:r>
          </w:p>
        </w:tc>
        <w:tc>
          <w:tcPr>
            <w:tcW w:w="1864" w:type="dxa"/>
            <w:tcBorders>
              <w:tl2br w:val="nil"/>
              <w:tr2bl w:val="nil"/>
            </w:tcBorders>
            <w:noWrap w:val="0"/>
            <w:vAlign w:val="center"/>
          </w:tcPr>
          <w:p w14:paraId="320675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eastAsia" w:ascii="Times New Roman" w:hAnsi="Times New Roman" w:eastAsia="仿宋" w:cs="Times New Roman"/>
                <w:color w:val="auto"/>
                <w:kern w:val="0"/>
                <w:sz w:val="24"/>
                <w:szCs w:val="24"/>
                <w:lang w:val="en-US" w:eastAsia="zh-CN"/>
              </w:rPr>
              <w:t>/</w:t>
            </w:r>
          </w:p>
        </w:tc>
        <w:tc>
          <w:tcPr>
            <w:tcW w:w="1582" w:type="dxa"/>
            <w:tcBorders>
              <w:tl2br w:val="nil"/>
              <w:tr2bl w:val="nil"/>
            </w:tcBorders>
            <w:noWrap w:val="0"/>
            <w:vAlign w:val="center"/>
          </w:tcPr>
          <w:p w14:paraId="6C1CE95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临时占地</w:t>
            </w:r>
          </w:p>
        </w:tc>
      </w:tr>
      <w:tr w14:paraId="248B0C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2604" w:type="dxa"/>
            <w:gridSpan w:val="2"/>
            <w:tcBorders>
              <w:tl2br w:val="nil"/>
              <w:tr2bl w:val="nil"/>
            </w:tcBorders>
            <w:noWrap w:val="0"/>
            <w:vAlign w:val="center"/>
          </w:tcPr>
          <w:p w14:paraId="2E8ABFA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合计</w:t>
            </w:r>
          </w:p>
        </w:tc>
        <w:tc>
          <w:tcPr>
            <w:tcW w:w="1225" w:type="dxa"/>
            <w:tcBorders>
              <w:tl2br w:val="nil"/>
              <w:tr2bl w:val="nil"/>
            </w:tcBorders>
            <w:noWrap w:val="0"/>
            <w:vAlign w:val="center"/>
          </w:tcPr>
          <w:p w14:paraId="0C84190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2.90</w:t>
            </w:r>
          </w:p>
        </w:tc>
        <w:tc>
          <w:tcPr>
            <w:tcW w:w="1728" w:type="dxa"/>
            <w:tcBorders>
              <w:tl2br w:val="nil"/>
              <w:tr2bl w:val="nil"/>
            </w:tcBorders>
            <w:noWrap w:val="0"/>
            <w:vAlign w:val="center"/>
          </w:tcPr>
          <w:p w14:paraId="77AEF98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2.65</w:t>
            </w:r>
          </w:p>
        </w:tc>
        <w:tc>
          <w:tcPr>
            <w:tcW w:w="1864" w:type="dxa"/>
            <w:tcBorders>
              <w:tl2br w:val="nil"/>
              <w:tr2bl w:val="nil"/>
            </w:tcBorders>
            <w:noWrap w:val="0"/>
            <w:vAlign w:val="center"/>
          </w:tcPr>
          <w:p w14:paraId="0009C4D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0.25</w:t>
            </w:r>
          </w:p>
        </w:tc>
        <w:tc>
          <w:tcPr>
            <w:tcW w:w="1582" w:type="dxa"/>
            <w:tcBorders>
              <w:tl2br w:val="nil"/>
              <w:tr2bl w:val="nil"/>
            </w:tcBorders>
            <w:noWrap w:val="0"/>
            <w:vAlign w:val="center"/>
          </w:tcPr>
          <w:p w14:paraId="1FA685E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rPr>
            </w:pPr>
          </w:p>
        </w:tc>
      </w:tr>
    </w:tbl>
    <w:p w14:paraId="3116124C">
      <w:pPr>
        <w:pStyle w:val="20"/>
        <w:jc w:val="both"/>
        <w:rPr>
          <w:rFonts w:hint="default" w:eastAsia="仿宋_GB2312"/>
          <w:color w:val="auto"/>
          <w:sz w:val="20"/>
          <w:szCs w:val="18"/>
          <w:vertAlign w:val="baseline"/>
          <w:lang w:val="en-US" w:eastAsia="zh-CN"/>
        </w:rPr>
      </w:pPr>
      <w:r>
        <w:rPr>
          <w:rFonts w:hint="eastAsia"/>
          <w:color w:val="auto"/>
          <w:sz w:val="20"/>
          <w:szCs w:val="18"/>
          <w:vertAlign w:val="baseline"/>
          <w:lang w:val="en-US" w:eastAsia="zh-CN"/>
        </w:rPr>
        <w:t>注：*表示位于用地红线内不重复计算面积</w:t>
      </w:r>
    </w:p>
    <w:bookmarkEnd w:id="23"/>
    <w:bookmarkEnd w:id="24"/>
    <w:p w14:paraId="13DE2E11">
      <w:pPr>
        <w:pStyle w:val="4"/>
        <w:keepNext/>
        <w:keepLines/>
        <w:pageBreakBefore w:val="0"/>
        <w:widowControl/>
        <w:kinsoku/>
        <w:wordWrap/>
        <w:overflowPunct/>
        <w:topLinePunct w:val="0"/>
        <w:autoSpaceDE/>
        <w:autoSpaceDN/>
        <w:bidi w:val="0"/>
        <w:adjustRightInd/>
        <w:snapToGrid/>
        <w:textAlignment w:val="auto"/>
        <w:rPr>
          <w:rFonts w:eastAsia="仿宋"/>
          <w:color w:val="auto"/>
          <w:kern w:val="0"/>
        </w:rPr>
      </w:pPr>
      <w:r>
        <w:rPr>
          <w:rFonts w:eastAsia="仿宋"/>
          <w:color w:val="auto"/>
          <w:kern w:val="0"/>
        </w:rPr>
        <w:t>1.1.8移民安置和专项设施改（迁）建</w:t>
      </w:r>
    </w:p>
    <w:p w14:paraId="217FE768">
      <w:pPr>
        <w:snapToGrid w:val="0"/>
        <w:ind w:firstLine="560"/>
        <w:rPr>
          <w:color w:val="auto"/>
          <w:szCs w:val="28"/>
        </w:rPr>
      </w:pPr>
      <w:r>
        <w:rPr>
          <w:rFonts w:hint="eastAsia" w:ascii="仿宋" w:hAnsi="仿宋" w:eastAsia="仿宋" w:cs="仿宋"/>
          <w:color w:val="auto"/>
          <w:szCs w:val="28"/>
        </w:rPr>
        <w:t>项目不涉及拆迁（移民）安置，不涉及专项设施改（迁）建。</w:t>
      </w:r>
    </w:p>
    <w:p w14:paraId="11B44AED">
      <w:pPr>
        <w:pStyle w:val="3"/>
        <w:widowControl/>
        <w:rPr>
          <w:rFonts w:eastAsia="仿宋"/>
          <w:color w:val="auto"/>
          <w:kern w:val="0"/>
          <w:szCs w:val="30"/>
        </w:rPr>
      </w:pPr>
      <w:bookmarkStart w:id="25" w:name="_Toc7047"/>
      <w:r>
        <w:rPr>
          <w:rFonts w:eastAsia="仿宋"/>
          <w:color w:val="auto"/>
          <w:kern w:val="0"/>
          <w:szCs w:val="30"/>
        </w:rPr>
        <w:t>1.2项目区概况</w:t>
      </w:r>
      <w:bookmarkEnd w:id="25"/>
    </w:p>
    <w:p w14:paraId="6644B3FB">
      <w:pPr>
        <w:pStyle w:val="4"/>
        <w:widowControl/>
        <w:rPr>
          <w:rFonts w:eastAsia="仿宋"/>
          <w:color w:val="auto"/>
          <w:kern w:val="0"/>
        </w:rPr>
      </w:pPr>
      <w:bookmarkStart w:id="26" w:name="_Toc16304"/>
      <w:bookmarkStart w:id="27" w:name="_Toc28399"/>
      <w:r>
        <w:rPr>
          <w:rFonts w:eastAsia="仿宋"/>
          <w:color w:val="auto"/>
          <w:kern w:val="0"/>
        </w:rPr>
        <w:t>1.2.1自然条件</w:t>
      </w:r>
      <w:bookmarkEnd w:id="26"/>
      <w:bookmarkEnd w:id="27"/>
      <w:r>
        <w:rPr>
          <w:rFonts w:hint="eastAsia" w:eastAsia="仿宋"/>
          <w:color w:val="auto"/>
          <w:kern w:val="0"/>
        </w:rPr>
        <w:t xml:space="preserve">      </w:t>
      </w:r>
    </w:p>
    <w:p w14:paraId="67A6602F">
      <w:pPr>
        <w:pStyle w:val="5"/>
        <w:rPr>
          <w:rFonts w:eastAsia="仿宋"/>
          <w:color w:val="auto"/>
        </w:rPr>
      </w:pPr>
      <w:bookmarkStart w:id="28" w:name="_Toc5380"/>
      <w:bookmarkStart w:id="29" w:name="_Toc13986"/>
      <w:bookmarkStart w:id="30" w:name="_Toc369855382"/>
      <w:bookmarkStart w:id="31" w:name="_Toc14936"/>
      <w:r>
        <w:rPr>
          <w:rFonts w:eastAsia="仿宋"/>
          <w:color w:val="auto"/>
        </w:rPr>
        <w:t>1.1.2.1</w:t>
      </w:r>
      <w:bookmarkEnd w:id="28"/>
      <w:r>
        <w:rPr>
          <w:rFonts w:eastAsia="仿宋"/>
          <w:color w:val="auto"/>
        </w:rPr>
        <w:t>地质</w:t>
      </w:r>
    </w:p>
    <w:p w14:paraId="65DE7594">
      <w:pPr>
        <w:ind w:firstLine="560"/>
        <w:rPr>
          <w:rFonts w:hint="eastAsia" w:ascii="Times New Roman" w:hAnsi="Times New Roman" w:cs="Times New Roman"/>
          <w:color w:val="auto"/>
        </w:rPr>
      </w:pPr>
      <w:r>
        <w:rPr>
          <w:rFonts w:hint="eastAsia" w:ascii="Times New Roman" w:hAnsi="Times New Roman" w:cs="Times New Roman"/>
          <w:color w:val="auto"/>
        </w:rPr>
        <w:t>根据《</w:t>
      </w:r>
      <w:r>
        <w:rPr>
          <w:rFonts w:hint="eastAsia" w:ascii="Times New Roman" w:hAnsi="Times New Roman" w:cs="Times New Roman"/>
          <w:color w:val="auto"/>
          <w:lang w:eastAsia="zh-CN"/>
        </w:rPr>
        <w:t>福州市延安中学教育集团国福校区</w:t>
      </w:r>
      <w:r>
        <w:rPr>
          <w:rFonts w:hint="eastAsia" w:ascii="Times New Roman" w:hAnsi="Times New Roman" w:cs="Times New Roman"/>
          <w:color w:val="auto"/>
        </w:rPr>
        <w:t>岩土工程勘察报告》场地自上而下由以下几个土层组成：①杂填土</w:t>
      </w:r>
      <w:r>
        <w:rPr>
          <w:rFonts w:hint="eastAsia" w:ascii="Times New Roman" w:hAnsi="Times New Roman" w:cs="Times New Roman"/>
          <w:color w:val="auto"/>
          <w:lang w:eastAsia="zh-CN"/>
        </w:rPr>
        <w:t>（</w:t>
      </w:r>
      <w:r>
        <w:rPr>
          <w:rFonts w:hint="eastAsia" w:ascii="Times New Roman" w:hAnsi="Times New Roman" w:cs="Times New Roman"/>
          <w:color w:val="auto"/>
        </w:rPr>
        <w:t>Q</w:t>
      </w:r>
      <w:r>
        <w:rPr>
          <w:rFonts w:hint="eastAsia" w:ascii="Times New Roman" w:hAnsi="Times New Roman" w:cs="Times New Roman"/>
          <w:color w:val="auto"/>
          <w:vertAlign w:val="subscript"/>
        </w:rPr>
        <w:t>4</w:t>
      </w:r>
      <w:r>
        <w:rPr>
          <w:rFonts w:hint="eastAsia" w:ascii="Times New Roman" w:hAnsi="Times New Roman" w:cs="Times New Roman"/>
          <w:color w:val="auto"/>
          <w:vertAlign w:val="superscript"/>
        </w:rPr>
        <w:t>ml</w:t>
      </w:r>
      <w:r>
        <w:rPr>
          <w:rFonts w:hint="eastAsia" w:ascii="Times New Roman" w:hAnsi="Times New Roman" w:cs="Times New Roman"/>
          <w:color w:val="auto"/>
          <w:lang w:eastAsia="zh-CN"/>
        </w:rPr>
        <w:t>）、</w:t>
      </w:r>
      <w:r>
        <w:rPr>
          <w:rFonts w:hint="eastAsia" w:ascii="Times New Roman" w:hAnsi="Times New Roman" w:cs="Times New Roman"/>
          <w:color w:val="auto"/>
        </w:rPr>
        <w:t>②坡积砂质黏土（Q</w:t>
      </w:r>
      <w:r>
        <w:rPr>
          <w:rFonts w:hint="eastAsia" w:ascii="Times New Roman" w:hAnsi="Times New Roman" w:cs="Times New Roman"/>
          <w:color w:val="auto"/>
          <w:vertAlign w:val="superscript"/>
        </w:rPr>
        <w:t>dl</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③残积砂质黏性土（Q</w:t>
      </w:r>
      <w:r>
        <w:rPr>
          <w:rFonts w:hint="eastAsia" w:ascii="Times New Roman" w:hAnsi="Times New Roman" w:cs="Times New Roman"/>
          <w:color w:val="auto"/>
          <w:vertAlign w:val="superscript"/>
        </w:rPr>
        <w:t>el</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④全风化花岗岩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⑤砂土状强风化花岗岩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⑥碎块状强风化花岗岩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lang w:eastAsia="zh-CN"/>
        </w:rPr>
        <w:t>）、</w:t>
      </w:r>
      <w:r>
        <w:rPr>
          <w:rFonts w:hint="eastAsia" w:ascii="Times New Roman" w:hAnsi="Times New Roman" w:cs="Times New Roman"/>
          <w:color w:val="auto"/>
        </w:rPr>
        <w:t>⑦中-微风化花岗岩</w:t>
      </w:r>
    </w:p>
    <w:p w14:paraId="1A79E604">
      <w:pPr>
        <w:ind w:left="0" w:leftChars="0" w:firstLine="0" w:firstLineChars="0"/>
        <w:rPr>
          <w:rFonts w:hint="eastAsia" w:ascii="Times New Roman" w:hAnsi="Times New Roman" w:cs="Times New Roman"/>
          <w:color w:val="auto"/>
          <w:lang w:eastAsia="zh-CN"/>
        </w:rPr>
      </w:pP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γ</w:t>
      </w:r>
      <w:r>
        <w:rPr>
          <w:rFonts w:hint="eastAsia" w:ascii="Times New Roman" w:hAnsi="Times New Roman" w:cs="Times New Roman"/>
          <w:color w:val="auto"/>
          <w:vertAlign w:val="subscript"/>
        </w:rPr>
        <w:t>5</w:t>
      </w:r>
      <w:r>
        <w:rPr>
          <w:rFonts w:hint="eastAsia" w:ascii="Times New Roman" w:hAnsi="Times New Roman" w:cs="Times New Roman"/>
          <w:color w:val="auto"/>
          <w:vertAlign w:val="superscript"/>
        </w:rPr>
        <w:t>3</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rPr>
        <w:t>⑦</w:t>
      </w:r>
      <w:r>
        <w:rPr>
          <w:rFonts w:hint="eastAsia" w:ascii="Times New Roman" w:hAnsi="Times New Roman" w:cs="Times New Roman"/>
          <w:color w:val="auto"/>
          <w:vertAlign w:val="subscript"/>
        </w:rPr>
        <w:t>1</w:t>
      </w:r>
      <w:r>
        <w:rPr>
          <w:rFonts w:hint="eastAsia" w:ascii="Times New Roman" w:hAnsi="Times New Roman" w:cs="Times New Roman"/>
          <w:color w:val="auto"/>
        </w:rPr>
        <w:t>中风化辉绿岩</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β</w:t>
      </w:r>
      <w:r>
        <w:rPr>
          <w:rFonts w:hint="eastAsia" w:ascii="Times New Roman" w:hAnsi="Times New Roman" w:cs="Times New Roman"/>
          <w:color w:val="auto"/>
          <w:lang w:eastAsia="zh-CN"/>
        </w:rPr>
        <w:t>）</w:t>
      </w:r>
      <w:r>
        <w:rPr>
          <w:rFonts w:hint="eastAsia" w:ascii="Times New Roman" w:hAnsi="Times New Roman" w:cs="Times New Roman"/>
          <w:color w:val="auto"/>
        </w:rPr>
        <w:t>。</w:t>
      </w:r>
    </w:p>
    <w:p w14:paraId="41106923">
      <w:pPr>
        <w:ind w:firstLine="560"/>
        <w:rPr>
          <w:rFonts w:hint="eastAsia" w:eastAsia="仿宋_GB2312"/>
          <w:color w:val="auto"/>
          <w:lang w:eastAsia="zh-CN"/>
        </w:rPr>
      </w:pPr>
      <w:r>
        <w:rPr>
          <w:rFonts w:hint="eastAsia"/>
          <w:color w:val="auto"/>
        </w:rPr>
        <w:t>根据岩土勘察报告，</w:t>
      </w:r>
      <w:r>
        <w:rPr>
          <w:rFonts w:hint="eastAsia" w:ascii="Times New Roman" w:hAnsi="Times New Roman" w:cs="Times New Roman"/>
          <w:color w:val="auto"/>
        </w:rPr>
        <w:t>项目区不存在岩溶、滑坡、危岩及崩塌、泥石流、采空区、地面沉陷等</w:t>
      </w:r>
      <w:r>
        <w:rPr>
          <w:rFonts w:hint="eastAsia" w:cs="Times New Roman"/>
          <w:color w:val="auto"/>
          <w:lang w:eastAsia="zh-CN"/>
        </w:rPr>
        <w:t>其他</w:t>
      </w:r>
      <w:r>
        <w:rPr>
          <w:rFonts w:hint="eastAsia" w:ascii="Times New Roman" w:hAnsi="Times New Roman" w:cs="Times New Roman"/>
          <w:color w:val="auto"/>
        </w:rPr>
        <w:t>不良地质现象，亦未发现场地</w:t>
      </w:r>
      <w:r>
        <w:rPr>
          <w:rFonts w:hint="eastAsia" w:cs="Times New Roman"/>
          <w:color w:val="auto"/>
          <w:lang w:eastAsia="zh-CN"/>
        </w:rPr>
        <w:t>内</w:t>
      </w:r>
      <w:r>
        <w:rPr>
          <w:rFonts w:hint="eastAsia" w:ascii="Times New Roman" w:hAnsi="Times New Roman" w:cs="Times New Roman"/>
          <w:color w:val="auto"/>
        </w:rPr>
        <w:t>暗藏的河道、墓穴、暗浜及防空洞等不利工程的埋藏物。场地相对较为稳定，适宜本项目建设。</w:t>
      </w:r>
    </w:p>
    <w:p w14:paraId="76420861">
      <w:pPr>
        <w:pStyle w:val="5"/>
        <w:rPr>
          <w:rFonts w:eastAsia="仿宋"/>
          <w:color w:val="auto"/>
        </w:rPr>
      </w:pPr>
      <w:r>
        <w:rPr>
          <w:rFonts w:eastAsia="仿宋"/>
          <w:color w:val="auto"/>
        </w:rPr>
        <w:t>1.1.2.2地貌</w:t>
      </w:r>
    </w:p>
    <w:p w14:paraId="22E184C8">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五凤街道地处福建省福州市鼓楼区，位于福州市市区北面，东邻省体育中心，南与华大、鼓西街道毗连，西迄外福铁路闽侯县界，北自外福铁路闽侯县界处向东沿外福铁路南基至福飞路铁道口，与新店镇接壤。</w:t>
      </w:r>
    </w:p>
    <w:p w14:paraId="658247DC">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本项目场地属剥蚀残丘地貌单元，地势平缓，平均坡度在</w:t>
      </w:r>
      <w:r>
        <w:rPr>
          <w:rFonts w:hint="eastAsia" w:ascii="Times New Roman" w:hAnsi="Times New Roman" w:cs="Times New Roman"/>
          <w:color w:val="auto"/>
          <w:lang w:val="en-US" w:eastAsia="zh-CN"/>
        </w:rPr>
        <w:t>3°</w:t>
      </w:r>
      <w:r>
        <w:rPr>
          <w:rFonts w:hint="eastAsia" w:ascii="Times New Roman" w:hAnsi="Times New Roman" w:cs="Times New Roman"/>
          <w:color w:val="auto"/>
          <w:lang w:eastAsia="zh-CN"/>
        </w:rPr>
        <w:t>左右，场地原地面高程在15.83m</w:t>
      </w:r>
      <w:r>
        <w:rPr>
          <w:rFonts w:hint="eastAsia" w:cs="Times New Roman"/>
          <w:color w:val="auto"/>
          <w:lang w:eastAsia="zh-CN"/>
        </w:rPr>
        <w:t>～</w:t>
      </w:r>
      <w:r>
        <w:rPr>
          <w:rFonts w:hint="eastAsia" w:ascii="Times New Roman" w:hAnsi="Times New Roman" w:cs="Times New Roman"/>
          <w:color w:val="auto"/>
          <w:lang w:eastAsia="zh-CN"/>
        </w:rPr>
        <w:t>17.092m之间，场地原为工厂，土地划拨前，该地块已完成拆迁工作。</w:t>
      </w:r>
    </w:p>
    <w:p w14:paraId="1B791432">
      <w:pPr>
        <w:pStyle w:val="5"/>
        <w:rPr>
          <w:color w:val="auto"/>
        </w:rPr>
      </w:pPr>
      <w:r>
        <w:rPr>
          <w:color w:val="auto"/>
        </w:rPr>
        <w:t>1.1.2.3水文</w:t>
      </w:r>
    </w:p>
    <w:p w14:paraId="5DA813BC">
      <w:pPr>
        <w:ind w:firstLine="560"/>
        <w:rPr>
          <w:rFonts w:hint="eastAsia"/>
          <w:color w:val="auto"/>
          <w:lang w:eastAsia="zh-CN"/>
        </w:rPr>
      </w:pPr>
      <w:r>
        <w:rPr>
          <w:rFonts w:hint="eastAsia"/>
          <w:color w:val="auto"/>
          <w:lang w:eastAsia="zh-CN"/>
        </w:rPr>
        <w:t>本项目场地东侧约320m为湖前河，除此之外，周边无其他水系。湖前河北起东浦路铁路桥，沿福飞路向南，经福飞路桥向东，延伸至晋安河茶园水闸处，中段与树兜河相通，全长2588m，宽约8.00m，水深约 1.7m。</w:t>
      </w:r>
    </w:p>
    <w:p w14:paraId="53B7D8A0">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本场地揭示的地下水按埋藏条件包含上层滞水和潜水两种类型，其中潜水按赋存介质为基岩孔隙—裂隙潜水。</w:t>
      </w:r>
    </w:p>
    <w:p w14:paraId="7B0C951C">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①上层滞水：主要赋存于①杂填土和坡积砂质黏土（Q</w:t>
      </w:r>
      <w:r>
        <w:rPr>
          <w:rFonts w:hint="eastAsia" w:ascii="Times New Roman" w:hAnsi="Times New Roman" w:cs="Times New Roman"/>
          <w:color w:val="auto"/>
          <w:vertAlign w:val="superscript"/>
          <w:lang w:eastAsia="zh-CN"/>
        </w:rPr>
        <w:t>dl</w:t>
      </w:r>
      <w:r>
        <w:rPr>
          <w:rFonts w:hint="eastAsia" w:ascii="Times New Roman" w:hAnsi="Times New Roman" w:cs="Times New Roman"/>
          <w:color w:val="auto"/>
          <w:lang w:eastAsia="zh-CN"/>
        </w:rPr>
        <w:t>）中，补给主要为大气降水及地表径流入渗，排泄方式主要为蒸发和下渗。</w:t>
      </w:r>
    </w:p>
    <w:p w14:paraId="57677838">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②潜水：基岩孔隙—裂隙水主要赋存于下部风化岩中，以潜水为主，局部存在坡、残积土隔断，具承压性，表现为承压水。由于风化程度不同，风化裂隙率和连通性差异较大，其透水性具不均匀性，总体透水性较弱，富水性也较弱。</w:t>
      </w:r>
    </w:p>
    <w:p w14:paraId="78786BC4">
      <w:pPr>
        <w:ind w:firstLine="560"/>
        <w:rPr>
          <w:rFonts w:hint="eastAsia" w:ascii="Times New Roman" w:hAnsi="Times New Roman" w:cs="Times New Roman"/>
          <w:color w:val="auto"/>
          <w:lang w:eastAsia="zh-CN"/>
        </w:rPr>
      </w:pPr>
      <w:r>
        <w:rPr>
          <w:rFonts w:hint="eastAsia" w:ascii="Times New Roman" w:hAnsi="Times New Roman" w:cs="Times New Roman"/>
          <w:color w:val="auto"/>
          <w:lang w:eastAsia="zh-CN"/>
        </w:rPr>
        <w:t>地下水初见水位埋深变化为5.71</w:t>
      </w:r>
      <w:r>
        <w:rPr>
          <w:rFonts w:hint="eastAsia" w:cs="Times New Roman"/>
          <w:color w:val="auto"/>
          <w:lang w:eastAsia="zh-CN"/>
        </w:rPr>
        <w:t>～</w:t>
      </w:r>
      <w:r>
        <w:rPr>
          <w:rFonts w:hint="eastAsia" w:ascii="Times New Roman" w:hAnsi="Times New Roman" w:cs="Times New Roman"/>
          <w:color w:val="auto"/>
          <w:lang w:eastAsia="zh-CN"/>
        </w:rPr>
        <w:t>8.45m，近3</w:t>
      </w:r>
      <w:r>
        <w:rPr>
          <w:rFonts w:hint="eastAsia" w:ascii="Times New Roman" w:hAnsi="Times New Roman" w:cs="Times New Roman"/>
          <w:color w:val="auto"/>
          <w:lang w:val="en-US" w:eastAsia="zh-CN"/>
        </w:rPr>
        <w:t>~</w:t>
      </w:r>
      <w:r>
        <w:rPr>
          <w:rFonts w:hint="eastAsia" w:ascii="Times New Roman" w:hAnsi="Times New Roman" w:cs="Times New Roman"/>
          <w:color w:val="auto"/>
          <w:lang w:eastAsia="zh-CN"/>
        </w:rPr>
        <w:t>5年内地下水位年变化幅度约1.00m。</w:t>
      </w:r>
    </w:p>
    <w:p w14:paraId="34D2632F">
      <w:pPr>
        <w:pStyle w:val="5"/>
        <w:rPr>
          <w:color w:val="auto"/>
        </w:rPr>
      </w:pPr>
      <w:r>
        <w:rPr>
          <w:color w:val="auto"/>
        </w:rPr>
        <w:t>1.1.2.4气象</w:t>
      </w:r>
    </w:p>
    <w:p w14:paraId="7675E780">
      <w:pPr>
        <w:keepNext w:val="0"/>
        <w:keepLines w:val="0"/>
        <w:pageBreakBefore w:val="0"/>
        <w:widowControl w:val="0"/>
        <w:kinsoku/>
        <w:wordWrap/>
        <w:overflowPunct/>
        <w:topLinePunct w:val="0"/>
        <w:autoSpaceDE/>
        <w:autoSpaceDN/>
        <w:bidi w:val="0"/>
        <w:adjustRightInd/>
        <w:snapToGrid/>
        <w:ind w:firstLine="560"/>
        <w:textAlignment w:val="auto"/>
        <w:rPr>
          <w:rFonts w:hint="eastAsia" w:ascii="Times New Roman" w:hAnsi="Times New Roman" w:cs="Times New Roman"/>
          <w:bCs/>
          <w:color w:val="auto"/>
          <w:szCs w:val="28"/>
          <w:lang w:eastAsia="zh-CN"/>
        </w:rPr>
      </w:pPr>
      <w:r>
        <w:rPr>
          <w:rFonts w:hint="eastAsia" w:ascii="Times New Roman" w:hAnsi="Times New Roman" w:cs="Times New Roman"/>
          <w:bCs/>
          <w:color w:val="auto"/>
          <w:szCs w:val="28"/>
          <w:lang w:eastAsia="zh-CN"/>
        </w:rPr>
        <w:t>五凤街道属中亚热带海洋性季风气候，湿润多雨。夏季长无酷暑，冬无严寒，年平均气温19.6℃ , 全年无霜期326天，多年降水量 1342.5mm，年平均湿度为77%。</w:t>
      </w:r>
    </w:p>
    <w:p w14:paraId="547AC97C">
      <w:pPr>
        <w:keepNext w:val="0"/>
        <w:keepLines w:val="0"/>
        <w:pageBreakBefore w:val="0"/>
        <w:widowControl w:val="0"/>
        <w:kinsoku/>
        <w:wordWrap/>
        <w:overflowPunct/>
        <w:topLinePunct w:val="0"/>
        <w:autoSpaceDE/>
        <w:autoSpaceDN/>
        <w:bidi w:val="0"/>
        <w:adjustRightInd/>
        <w:snapToGrid/>
        <w:ind w:firstLine="560"/>
        <w:textAlignment w:val="auto"/>
        <w:rPr>
          <w:rFonts w:hint="eastAsia" w:ascii="Times New Roman" w:hAnsi="Times New Roman" w:cs="Times New Roman"/>
          <w:bCs/>
          <w:color w:val="auto"/>
          <w:szCs w:val="28"/>
          <w:lang w:eastAsia="zh-CN"/>
        </w:rPr>
      </w:pPr>
      <w:r>
        <w:rPr>
          <w:rFonts w:hint="eastAsia" w:ascii="Times New Roman" w:hAnsi="Times New Roman" w:cs="Times New Roman"/>
          <w:bCs/>
          <w:color w:val="auto"/>
          <w:szCs w:val="28"/>
          <w:lang w:eastAsia="zh-CN"/>
        </w:rPr>
        <w:t>常年风向多为东南风，气候温和、雨量充沛。年平均降雨日数为142.3 天，年平均相对湿度为79% 。常年主导风向为东南风，夏季东南风、南风频率分别16.6%和14.5%, 静风频率为26.9%；冬季东南风和西风频率为</w:t>
      </w:r>
      <w:r>
        <w:rPr>
          <w:rFonts w:hint="eastAsia" w:ascii="Times New Roman" w:hAnsi="Times New Roman" w:cs="Times New Roman"/>
          <w:bCs/>
          <w:color w:val="auto"/>
          <w:szCs w:val="28"/>
          <w:lang w:val="en-US" w:eastAsia="zh-CN"/>
        </w:rPr>
        <w:t>1</w:t>
      </w:r>
      <w:r>
        <w:rPr>
          <w:rFonts w:hint="eastAsia" w:ascii="Times New Roman" w:hAnsi="Times New Roman" w:cs="Times New Roman"/>
          <w:bCs/>
          <w:color w:val="auto"/>
          <w:szCs w:val="28"/>
          <w:lang w:eastAsia="zh-CN"/>
        </w:rPr>
        <w:t>1.5%和10.4% ，静风频率为23.1%。年平均风速为2.9米/秒，最大风速可达31.7米/秒。</w:t>
      </w:r>
    </w:p>
    <w:p w14:paraId="3BD6B836">
      <w:pPr>
        <w:keepNext w:val="0"/>
        <w:keepLines w:val="0"/>
        <w:pageBreakBefore w:val="0"/>
        <w:widowControl w:val="0"/>
        <w:kinsoku/>
        <w:wordWrap/>
        <w:overflowPunct/>
        <w:topLinePunct w:val="0"/>
        <w:autoSpaceDE/>
        <w:autoSpaceDN/>
        <w:bidi w:val="0"/>
        <w:adjustRightInd/>
        <w:snapToGrid/>
        <w:ind w:firstLine="560"/>
        <w:textAlignment w:val="auto"/>
        <w:rPr>
          <w:rFonts w:hint="eastAsia" w:ascii="Times New Roman" w:hAnsi="Times New Roman" w:cs="Times New Roman"/>
          <w:bCs/>
          <w:color w:val="auto"/>
          <w:szCs w:val="28"/>
          <w:lang w:eastAsia="zh-CN"/>
        </w:rPr>
      </w:pPr>
      <w:r>
        <w:rPr>
          <w:rFonts w:hint="eastAsia" w:ascii="Times New Roman" w:hAnsi="Times New Roman" w:cs="Times New Roman"/>
          <w:bCs/>
          <w:color w:val="auto"/>
          <w:szCs w:val="28"/>
          <w:lang w:eastAsia="zh-CN"/>
        </w:rPr>
        <w:t>项目区不同频率的短历时降雨强度详见表</w:t>
      </w:r>
      <w:r>
        <w:rPr>
          <w:rFonts w:hint="eastAsia" w:ascii="Times New Roman" w:hAnsi="Times New Roman" w:cs="Times New Roman"/>
          <w:bCs/>
          <w:color w:val="auto"/>
          <w:szCs w:val="28"/>
          <w:lang w:val="en-US" w:eastAsia="zh-CN"/>
        </w:rPr>
        <w:t>1-2。</w:t>
      </w:r>
    </w:p>
    <w:p w14:paraId="26F44A44">
      <w:pPr>
        <w:pStyle w:val="20"/>
        <w:rPr>
          <w:color w:val="auto"/>
          <w:sz w:val="24"/>
          <w:szCs w:val="22"/>
          <w:lang w:eastAsia="zh-CN"/>
        </w:rPr>
      </w:pPr>
      <w:r>
        <w:rPr>
          <w:color w:val="auto"/>
          <w:sz w:val="28"/>
          <w:szCs w:val="24"/>
          <w:lang w:eastAsia="zh-CN"/>
        </w:rPr>
        <w:t>表</w:t>
      </w:r>
      <w:r>
        <w:rPr>
          <w:rFonts w:hint="eastAsia"/>
          <w:color w:val="auto"/>
          <w:sz w:val="28"/>
          <w:szCs w:val="24"/>
          <w:lang w:val="en-US" w:eastAsia="zh-CN"/>
        </w:rPr>
        <w:t>1-2</w:t>
      </w:r>
      <w:r>
        <w:rPr>
          <w:color w:val="auto"/>
          <w:sz w:val="28"/>
          <w:szCs w:val="24"/>
          <w:lang w:eastAsia="zh-CN"/>
        </w:rPr>
        <w:t xml:space="preserve"> 项目区暴雨成果表</w:t>
      </w:r>
    </w:p>
    <w:tbl>
      <w:tblPr>
        <w:tblStyle w:val="14"/>
        <w:tblpPr w:leftFromText="180" w:rightFromText="180" w:vertAnchor="text" w:tblpXSpec="center" w:tblpY="1"/>
        <w:tblOverlap w:val="neve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518"/>
        <w:gridCol w:w="820"/>
        <w:gridCol w:w="817"/>
        <w:gridCol w:w="1115"/>
        <w:gridCol w:w="1115"/>
        <w:gridCol w:w="1115"/>
        <w:gridCol w:w="1118"/>
      </w:tblGrid>
      <w:tr w14:paraId="404CE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vMerge w:val="restart"/>
            <w:noWrap w:val="0"/>
            <w:vAlign w:val="center"/>
          </w:tcPr>
          <w:p w14:paraId="04032F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降雨历时</w:t>
            </w:r>
          </w:p>
        </w:tc>
        <w:tc>
          <w:tcPr>
            <w:tcW w:w="851" w:type="pct"/>
            <w:vMerge w:val="restart"/>
            <w:noWrap w:val="0"/>
            <w:vAlign w:val="center"/>
          </w:tcPr>
          <w:p w14:paraId="4885563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年最大点</w:t>
            </w:r>
          </w:p>
          <w:p w14:paraId="7C7FCD3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雨量均值</w:t>
            </w:r>
            <w:r>
              <w:rPr>
                <w:rFonts w:hint="eastAsia"/>
                <w:b w:val="0"/>
                <w:bCs w:val="0"/>
                <w:kern w:val="0"/>
                <w:sz w:val="24"/>
                <w:szCs w:val="24"/>
                <w:lang w:eastAsia="zh-CN"/>
              </w:rPr>
              <w:t>（</w:t>
            </w:r>
            <w:r>
              <w:rPr>
                <w:rFonts w:eastAsia="仿宋_GB2312"/>
                <w:b w:val="0"/>
                <w:bCs w:val="0"/>
                <w:kern w:val="0"/>
                <w:sz w:val="24"/>
                <w:szCs w:val="24"/>
              </w:rPr>
              <w:t>mm</w:t>
            </w:r>
            <w:r>
              <w:rPr>
                <w:rFonts w:hint="eastAsia"/>
                <w:b w:val="0"/>
                <w:bCs w:val="0"/>
                <w:kern w:val="0"/>
                <w:sz w:val="24"/>
                <w:szCs w:val="24"/>
                <w:lang w:eastAsia="zh-CN"/>
              </w:rPr>
              <w:t>）</w:t>
            </w:r>
          </w:p>
        </w:tc>
        <w:tc>
          <w:tcPr>
            <w:tcW w:w="461" w:type="pct"/>
            <w:vMerge w:val="restart"/>
            <w:noWrap w:val="0"/>
            <w:vAlign w:val="center"/>
          </w:tcPr>
          <w:p w14:paraId="12F41E3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Cv</w:t>
            </w:r>
          </w:p>
        </w:tc>
        <w:tc>
          <w:tcPr>
            <w:tcW w:w="439" w:type="pct"/>
            <w:vMerge w:val="restart"/>
            <w:noWrap w:val="0"/>
            <w:vAlign w:val="center"/>
          </w:tcPr>
          <w:p w14:paraId="3D5399F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Cs/Cv</w:t>
            </w:r>
          </w:p>
        </w:tc>
        <w:tc>
          <w:tcPr>
            <w:tcW w:w="2502" w:type="pct"/>
            <w:gridSpan w:val="4"/>
            <w:noWrap w:val="0"/>
            <w:vAlign w:val="center"/>
          </w:tcPr>
          <w:p w14:paraId="597B94F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设计频率暴雨值</w:t>
            </w:r>
            <w:r>
              <w:rPr>
                <w:rFonts w:hint="eastAsia"/>
                <w:b w:val="0"/>
                <w:bCs w:val="0"/>
                <w:kern w:val="0"/>
                <w:sz w:val="24"/>
                <w:szCs w:val="24"/>
                <w:lang w:eastAsia="zh-CN"/>
              </w:rPr>
              <w:t>（</w:t>
            </w:r>
            <w:r>
              <w:rPr>
                <w:rFonts w:eastAsia="仿宋_GB2312"/>
                <w:b w:val="0"/>
                <w:bCs w:val="0"/>
                <w:kern w:val="0"/>
                <w:sz w:val="24"/>
                <w:szCs w:val="24"/>
              </w:rPr>
              <w:t>mm,P=%</w:t>
            </w:r>
            <w:r>
              <w:rPr>
                <w:rFonts w:hint="eastAsia"/>
                <w:b w:val="0"/>
                <w:bCs w:val="0"/>
                <w:kern w:val="0"/>
                <w:sz w:val="24"/>
                <w:szCs w:val="24"/>
                <w:lang w:eastAsia="zh-CN"/>
              </w:rPr>
              <w:t>）</w:t>
            </w:r>
          </w:p>
        </w:tc>
      </w:tr>
      <w:tr w14:paraId="74D64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vMerge w:val="continue"/>
            <w:noWrap w:val="0"/>
            <w:vAlign w:val="center"/>
          </w:tcPr>
          <w:p w14:paraId="5A1D2A4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851" w:type="pct"/>
            <w:vMerge w:val="continue"/>
            <w:noWrap w:val="0"/>
            <w:vAlign w:val="center"/>
          </w:tcPr>
          <w:p w14:paraId="79D7D4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461" w:type="pct"/>
            <w:vMerge w:val="continue"/>
            <w:noWrap w:val="0"/>
            <w:vAlign w:val="center"/>
          </w:tcPr>
          <w:p w14:paraId="1C908CA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439" w:type="pct"/>
            <w:vMerge w:val="continue"/>
            <w:noWrap w:val="0"/>
            <w:vAlign w:val="center"/>
          </w:tcPr>
          <w:p w14:paraId="4E2B5C6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p>
        </w:tc>
        <w:tc>
          <w:tcPr>
            <w:tcW w:w="625" w:type="pct"/>
            <w:noWrap w:val="0"/>
            <w:vAlign w:val="center"/>
          </w:tcPr>
          <w:p w14:paraId="27010ED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20</w:t>
            </w:r>
          </w:p>
        </w:tc>
        <w:tc>
          <w:tcPr>
            <w:tcW w:w="625" w:type="pct"/>
            <w:noWrap w:val="0"/>
            <w:vAlign w:val="center"/>
          </w:tcPr>
          <w:p w14:paraId="43C16D9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10</w:t>
            </w:r>
          </w:p>
        </w:tc>
        <w:tc>
          <w:tcPr>
            <w:tcW w:w="625" w:type="pct"/>
            <w:noWrap w:val="0"/>
            <w:vAlign w:val="center"/>
          </w:tcPr>
          <w:p w14:paraId="104626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5</w:t>
            </w:r>
          </w:p>
        </w:tc>
        <w:tc>
          <w:tcPr>
            <w:tcW w:w="626" w:type="pct"/>
            <w:noWrap w:val="0"/>
            <w:vAlign w:val="center"/>
          </w:tcPr>
          <w:p w14:paraId="3B5F45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eastAsia="仿宋_GB2312"/>
                <w:b w:val="0"/>
                <w:bCs w:val="0"/>
                <w:kern w:val="0"/>
                <w:sz w:val="24"/>
                <w:szCs w:val="24"/>
              </w:rPr>
            </w:pPr>
            <w:r>
              <w:rPr>
                <w:rFonts w:eastAsia="仿宋_GB2312"/>
                <w:b w:val="0"/>
                <w:bCs w:val="0"/>
                <w:kern w:val="0"/>
                <w:sz w:val="24"/>
                <w:szCs w:val="24"/>
              </w:rPr>
              <w:t>2</w:t>
            </w:r>
          </w:p>
        </w:tc>
      </w:tr>
      <w:tr w14:paraId="288DC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0B789F64">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hint="eastAsia" w:ascii="Times New Roman" w:hAnsi="Times New Roman" w:cs="Times New Roman"/>
                <w:kern w:val="0"/>
                <w:sz w:val="24"/>
                <w:szCs w:val="24"/>
                <w:lang w:val="en-US" w:eastAsia="zh-CN"/>
              </w:rPr>
              <w:t>10</w:t>
            </w:r>
            <w:r>
              <w:rPr>
                <w:rFonts w:ascii="Times New Roman" w:hAnsi="Times New Roman" w:eastAsia="仿宋_GB2312" w:cs="Times New Roman"/>
                <w:kern w:val="0"/>
                <w:sz w:val="24"/>
                <w:szCs w:val="24"/>
              </w:rPr>
              <w:t>min</w:t>
            </w:r>
          </w:p>
        </w:tc>
        <w:tc>
          <w:tcPr>
            <w:tcW w:w="851" w:type="pct"/>
            <w:noWrap w:val="0"/>
            <w:vAlign w:val="center"/>
          </w:tcPr>
          <w:p w14:paraId="1E5EA67A">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20.8</w:t>
            </w:r>
          </w:p>
        </w:tc>
        <w:tc>
          <w:tcPr>
            <w:tcW w:w="461" w:type="pct"/>
            <w:noWrap w:val="0"/>
            <w:vAlign w:val="center"/>
          </w:tcPr>
          <w:p w14:paraId="4BC3C116">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0.29</w:t>
            </w:r>
          </w:p>
        </w:tc>
        <w:tc>
          <w:tcPr>
            <w:tcW w:w="439" w:type="pct"/>
            <w:noWrap w:val="0"/>
            <w:vAlign w:val="center"/>
          </w:tcPr>
          <w:p w14:paraId="77628769">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1C187311">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25.4</w:t>
            </w:r>
          </w:p>
        </w:tc>
        <w:tc>
          <w:tcPr>
            <w:tcW w:w="625" w:type="pct"/>
            <w:noWrap w:val="0"/>
            <w:vAlign w:val="center"/>
          </w:tcPr>
          <w:p w14:paraId="2D9DA84D">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28.9</w:t>
            </w:r>
          </w:p>
        </w:tc>
        <w:tc>
          <w:tcPr>
            <w:tcW w:w="625" w:type="pct"/>
            <w:noWrap w:val="0"/>
            <w:vAlign w:val="center"/>
          </w:tcPr>
          <w:p w14:paraId="58E232B2">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32.1</w:t>
            </w:r>
          </w:p>
        </w:tc>
        <w:tc>
          <w:tcPr>
            <w:tcW w:w="626" w:type="pct"/>
            <w:noWrap w:val="0"/>
            <w:vAlign w:val="center"/>
          </w:tcPr>
          <w:p w14:paraId="4978426B">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36.2</w:t>
            </w:r>
          </w:p>
        </w:tc>
      </w:tr>
      <w:tr w14:paraId="34C1C4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0865F99A">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60min</w:t>
            </w:r>
          </w:p>
        </w:tc>
        <w:tc>
          <w:tcPr>
            <w:tcW w:w="851" w:type="pct"/>
            <w:noWrap w:val="0"/>
            <w:vAlign w:val="center"/>
          </w:tcPr>
          <w:p w14:paraId="726C0E17">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47.9</w:t>
            </w:r>
          </w:p>
        </w:tc>
        <w:tc>
          <w:tcPr>
            <w:tcW w:w="461" w:type="pct"/>
            <w:noWrap w:val="0"/>
            <w:vAlign w:val="center"/>
          </w:tcPr>
          <w:p w14:paraId="2A7EF9A0">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0.34</w:t>
            </w:r>
          </w:p>
        </w:tc>
        <w:tc>
          <w:tcPr>
            <w:tcW w:w="439" w:type="pct"/>
            <w:noWrap w:val="0"/>
            <w:vAlign w:val="center"/>
          </w:tcPr>
          <w:p w14:paraId="55D2BDA9">
            <w:pPr>
              <w:widowControl/>
              <w:adjustRightInd/>
              <w:snapToGrid w:val="0"/>
              <w:spacing w:line="240" w:lineRule="auto"/>
              <w:ind w:firstLine="0" w:firstLineChars="0"/>
              <w:jc w:val="center"/>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4BE90141">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59.9</w:t>
            </w:r>
          </w:p>
        </w:tc>
        <w:tc>
          <w:tcPr>
            <w:tcW w:w="625" w:type="pct"/>
            <w:noWrap w:val="0"/>
            <w:vAlign w:val="center"/>
          </w:tcPr>
          <w:p w14:paraId="7C2EC980">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69.7</w:t>
            </w:r>
          </w:p>
        </w:tc>
        <w:tc>
          <w:tcPr>
            <w:tcW w:w="625" w:type="pct"/>
            <w:noWrap w:val="0"/>
            <w:vAlign w:val="center"/>
          </w:tcPr>
          <w:p w14:paraId="3364B138">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79.0</w:t>
            </w:r>
          </w:p>
        </w:tc>
        <w:tc>
          <w:tcPr>
            <w:tcW w:w="626" w:type="pct"/>
            <w:noWrap w:val="0"/>
            <w:vAlign w:val="center"/>
          </w:tcPr>
          <w:p w14:paraId="526A352B">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90.6</w:t>
            </w:r>
          </w:p>
        </w:tc>
      </w:tr>
      <w:tr w14:paraId="3C0BF1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098F454B">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6h</w:t>
            </w:r>
          </w:p>
        </w:tc>
        <w:tc>
          <w:tcPr>
            <w:tcW w:w="851" w:type="pct"/>
            <w:noWrap w:val="0"/>
            <w:vAlign w:val="center"/>
          </w:tcPr>
          <w:p w14:paraId="196C3E6C">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88.5</w:t>
            </w:r>
          </w:p>
        </w:tc>
        <w:tc>
          <w:tcPr>
            <w:tcW w:w="461" w:type="pct"/>
            <w:noWrap w:val="0"/>
            <w:vAlign w:val="center"/>
          </w:tcPr>
          <w:p w14:paraId="33A52815">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0.46</w:t>
            </w:r>
          </w:p>
        </w:tc>
        <w:tc>
          <w:tcPr>
            <w:tcW w:w="439" w:type="pct"/>
            <w:noWrap w:val="0"/>
            <w:vAlign w:val="center"/>
          </w:tcPr>
          <w:p w14:paraId="7451C0E5">
            <w:pPr>
              <w:widowControl/>
              <w:adjustRightInd/>
              <w:snapToGrid w:val="0"/>
              <w:spacing w:line="240" w:lineRule="auto"/>
              <w:ind w:firstLine="0" w:firstLineChars="0"/>
              <w:jc w:val="center"/>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7E6C0603">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115.9</w:t>
            </w:r>
          </w:p>
        </w:tc>
        <w:tc>
          <w:tcPr>
            <w:tcW w:w="625" w:type="pct"/>
            <w:noWrap w:val="0"/>
            <w:vAlign w:val="center"/>
          </w:tcPr>
          <w:p w14:paraId="6E7CA3C3">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142.6</w:t>
            </w:r>
          </w:p>
        </w:tc>
        <w:tc>
          <w:tcPr>
            <w:tcW w:w="625" w:type="pct"/>
            <w:noWrap w:val="0"/>
            <w:vAlign w:val="center"/>
          </w:tcPr>
          <w:p w14:paraId="5B5D4D2C">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168.4</w:t>
            </w:r>
          </w:p>
        </w:tc>
        <w:tc>
          <w:tcPr>
            <w:tcW w:w="626" w:type="pct"/>
            <w:noWrap w:val="0"/>
            <w:vAlign w:val="center"/>
          </w:tcPr>
          <w:p w14:paraId="52274F26">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201.8</w:t>
            </w:r>
          </w:p>
        </w:tc>
      </w:tr>
      <w:tr w14:paraId="4A4256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5" w:type="pct"/>
            <w:noWrap w:val="0"/>
            <w:vAlign w:val="center"/>
          </w:tcPr>
          <w:p w14:paraId="5C0FA19A">
            <w:pPr>
              <w:widowControl/>
              <w:adjustRightInd/>
              <w:snapToGrid w:val="0"/>
              <w:spacing w:line="240" w:lineRule="auto"/>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24h</w:t>
            </w:r>
          </w:p>
        </w:tc>
        <w:tc>
          <w:tcPr>
            <w:tcW w:w="851" w:type="pct"/>
            <w:noWrap w:val="0"/>
            <w:vAlign w:val="center"/>
          </w:tcPr>
          <w:p w14:paraId="53E85268">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154.6</w:t>
            </w:r>
          </w:p>
        </w:tc>
        <w:tc>
          <w:tcPr>
            <w:tcW w:w="461" w:type="pct"/>
            <w:noWrap w:val="0"/>
            <w:vAlign w:val="center"/>
          </w:tcPr>
          <w:p w14:paraId="7179B4DE">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0.40</w:t>
            </w:r>
          </w:p>
        </w:tc>
        <w:tc>
          <w:tcPr>
            <w:tcW w:w="439" w:type="pct"/>
            <w:noWrap w:val="0"/>
            <w:vAlign w:val="center"/>
          </w:tcPr>
          <w:p w14:paraId="5136A955">
            <w:pPr>
              <w:widowControl/>
              <w:adjustRightInd/>
              <w:snapToGrid w:val="0"/>
              <w:spacing w:line="240" w:lineRule="auto"/>
              <w:ind w:firstLine="0" w:firstLineChars="0"/>
              <w:jc w:val="center"/>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3.5</w:t>
            </w:r>
          </w:p>
        </w:tc>
        <w:tc>
          <w:tcPr>
            <w:tcW w:w="625" w:type="pct"/>
            <w:noWrap w:val="0"/>
            <w:vAlign w:val="center"/>
          </w:tcPr>
          <w:p w14:paraId="51AD8197">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198.2</w:t>
            </w:r>
          </w:p>
        </w:tc>
        <w:tc>
          <w:tcPr>
            <w:tcW w:w="625" w:type="pct"/>
            <w:noWrap w:val="0"/>
            <w:vAlign w:val="center"/>
          </w:tcPr>
          <w:p w14:paraId="600DDDA5">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237.3</w:t>
            </w:r>
          </w:p>
        </w:tc>
        <w:tc>
          <w:tcPr>
            <w:tcW w:w="625" w:type="pct"/>
            <w:noWrap w:val="0"/>
            <w:vAlign w:val="center"/>
          </w:tcPr>
          <w:p w14:paraId="03D61B73">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274.5</w:t>
            </w:r>
          </w:p>
        </w:tc>
        <w:tc>
          <w:tcPr>
            <w:tcW w:w="626" w:type="pct"/>
            <w:noWrap w:val="0"/>
            <w:vAlign w:val="center"/>
          </w:tcPr>
          <w:p w14:paraId="6C05A4CA">
            <w:pPr>
              <w:widowControl/>
              <w:adjustRightInd/>
              <w:snapToGrid w:val="0"/>
              <w:spacing w:line="240" w:lineRule="auto"/>
              <w:ind w:firstLine="0" w:firstLineChars="0"/>
              <w:jc w:val="center"/>
              <w:rPr>
                <w:rFonts w:hint="default" w:ascii="Times New Roman" w:hAnsi="Times New Roman" w:eastAsia="仿宋_GB2312" w:cs="Times New Roman"/>
                <w:kern w:val="0"/>
                <w:sz w:val="24"/>
                <w:szCs w:val="24"/>
                <w:lang w:val="en-US" w:eastAsia="zh-CN"/>
              </w:rPr>
            </w:pPr>
            <w:r>
              <w:rPr>
                <w:rFonts w:hint="eastAsia" w:ascii="Times New Roman" w:hAnsi="Times New Roman" w:cs="Times New Roman"/>
                <w:kern w:val="0"/>
                <w:sz w:val="24"/>
                <w:szCs w:val="24"/>
                <w:lang w:val="en-US" w:eastAsia="zh-CN"/>
              </w:rPr>
              <w:t>321.9</w:t>
            </w:r>
          </w:p>
        </w:tc>
      </w:tr>
    </w:tbl>
    <w:p w14:paraId="7E97BBBA">
      <w:pPr>
        <w:pStyle w:val="5"/>
        <w:rPr>
          <w:color w:val="auto"/>
        </w:rPr>
      </w:pPr>
      <w:r>
        <w:rPr>
          <w:color w:val="auto"/>
        </w:rPr>
        <w:t>1.1.2.5土壤</w:t>
      </w:r>
    </w:p>
    <w:p w14:paraId="1E4B32DF">
      <w:pPr>
        <w:widowControl/>
        <w:ind w:firstLine="560"/>
        <w:jc w:val="left"/>
        <w:rPr>
          <w:rFonts w:hint="eastAsia" w:ascii="Times New Roman" w:hAnsi="Times New Roman" w:cs="Times New Roman"/>
          <w:snapToGrid w:val="0"/>
          <w:color w:val="auto"/>
          <w:kern w:val="0"/>
          <w:szCs w:val="28"/>
        </w:rPr>
      </w:pPr>
      <w:r>
        <w:rPr>
          <w:rFonts w:hint="eastAsia" w:ascii="Times New Roman" w:hAnsi="Times New Roman" w:cs="Times New Roman"/>
          <w:snapToGrid w:val="0"/>
          <w:color w:val="auto"/>
          <w:kern w:val="0"/>
          <w:szCs w:val="28"/>
        </w:rPr>
        <w:t>根据现场调查，项目场地土壤主要以红壤为主，根据调查，项目占地类型主要为</w:t>
      </w:r>
      <w:r>
        <w:rPr>
          <w:rFonts w:hint="eastAsia" w:ascii="Times New Roman" w:hAnsi="Times New Roman" w:cs="Times New Roman"/>
          <w:snapToGrid w:val="0"/>
          <w:color w:val="auto"/>
          <w:kern w:val="0"/>
          <w:szCs w:val="28"/>
          <w:lang w:eastAsia="zh-CN"/>
        </w:rPr>
        <w:t>教育用地和交通运输用地。</w:t>
      </w:r>
      <w:r>
        <w:rPr>
          <w:rFonts w:hint="eastAsia" w:ascii="Times New Roman" w:hAnsi="Times New Roman" w:cs="Times New Roman"/>
          <w:snapToGrid w:val="0"/>
          <w:color w:val="auto"/>
          <w:kern w:val="0"/>
          <w:szCs w:val="28"/>
        </w:rPr>
        <w:t>政府相关部门在移交该地块前已对本项目进行简单的三通一平</w:t>
      </w:r>
      <w:r>
        <w:rPr>
          <w:rFonts w:hint="eastAsia" w:ascii="Times New Roman" w:hAnsi="Times New Roman" w:cs="Times New Roman"/>
          <w:snapToGrid w:val="0"/>
          <w:color w:val="auto"/>
          <w:kern w:val="0"/>
          <w:szCs w:val="28"/>
          <w:lang w:eastAsia="zh-CN"/>
        </w:rPr>
        <w:t>，</w:t>
      </w:r>
      <w:r>
        <w:rPr>
          <w:rFonts w:hint="eastAsia" w:ascii="Times New Roman" w:hAnsi="Times New Roman" w:cs="Times New Roman"/>
          <w:snapToGrid w:val="0"/>
          <w:color w:val="auto"/>
          <w:kern w:val="0"/>
          <w:szCs w:val="28"/>
        </w:rPr>
        <w:t>场地内无表土可剥离。</w:t>
      </w:r>
    </w:p>
    <w:p w14:paraId="1CA48C19">
      <w:pPr>
        <w:pStyle w:val="5"/>
        <w:rPr>
          <w:color w:val="auto"/>
        </w:rPr>
      </w:pPr>
      <w:r>
        <w:rPr>
          <w:color w:val="auto"/>
        </w:rPr>
        <w:t>1.1.2.</w:t>
      </w:r>
      <w:r>
        <w:rPr>
          <w:rFonts w:hint="eastAsia"/>
          <w:color w:val="auto"/>
        </w:rPr>
        <w:t>6</w:t>
      </w:r>
      <w:r>
        <w:rPr>
          <w:color w:val="auto"/>
        </w:rPr>
        <w:t>植被</w:t>
      </w:r>
    </w:p>
    <w:p w14:paraId="26AD09D3">
      <w:pPr>
        <w:widowControl/>
        <w:adjustRightInd w:val="0"/>
        <w:snapToGrid w:val="0"/>
        <w:ind w:firstLine="560"/>
        <w:rPr>
          <w:rFonts w:hint="eastAsia" w:ascii="Times New Roman" w:hAnsi="Times New Roman" w:eastAsia="仿宋" w:cs="Times New Roman"/>
          <w:color w:val="auto"/>
          <w:kern w:val="0"/>
          <w:szCs w:val="28"/>
          <w:lang w:eastAsia="zh-CN"/>
        </w:rPr>
      </w:pPr>
      <w:r>
        <w:rPr>
          <w:rFonts w:hint="eastAsia" w:ascii="Times New Roman" w:hAnsi="Times New Roman" w:eastAsia="仿宋" w:cs="Times New Roman"/>
          <w:color w:val="auto"/>
          <w:kern w:val="0"/>
          <w:szCs w:val="28"/>
          <w:lang w:eastAsia="zh-CN"/>
        </w:rPr>
        <w:t>五凤街道属亚热带常绿阔叶林地带，因受自然条件影响，植被群落比较复杂，种类繁多，层次较明显，但因长期采伐利用、烧毁的破坏，原生植被多遭破坏，目前演替为次生植被，现有林分为次生林和人工林。主要树种有榕树、黄檀、樟木、灌木丛等。</w:t>
      </w:r>
    </w:p>
    <w:p w14:paraId="05D361DE">
      <w:pPr>
        <w:widowControl/>
        <w:adjustRightInd w:val="0"/>
        <w:snapToGrid w:val="0"/>
        <w:ind w:firstLine="560"/>
        <w:rPr>
          <w:snapToGrid w:val="0"/>
          <w:color w:val="auto"/>
          <w:kern w:val="0"/>
          <w:szCs w:val="28"/>
        </w:rPr>
      </w:pPr>
      <w:r>
        <w:rPr>
          <w:rFonts w:hint="eastAsia" w:ascii="Times New Roman" w:hAnsi="Times New Roman" w:eastAsia="仿宋" w:cs="Times New Roman"/>
          <w:color w:val="auto"/>
          <w:kern w:val="0"/>
          <w:szCs w:val="28"/>
          <w:lang w:eastAsia="zh-CN"/>
        </w:rPr>
        <w:t>本项目场地原有植被主要为原工厂绿化树木及拆迁后场地生长的杂草等，植被覆盖度约21%。</w:t>
      </w:r>
    </w:p>
    <w:p w14:paraId="206B204A">
      <w:pPr>
        <w:pStyle w:val="4"/>
        <w:widowControl/>
        <w:rPr>
          <w:rFonts w:eastAsia="仿宋"/>
          <w:color w:val="auto"/>
          <w:kern w:val="0"/>
        </w:rPr>
      </w:pPr>
      <w:r>
        <w:rPr>
          <w:rFonts w:eastAsia="仿宋"/>
          <w:color w:val="auto"/>
          <w:kern w:val="0"/>
        </w:rPr>
        <w:t>1.2.2</w:t>
      </w:r>
      <w:bookmarkEnd w:id="29"/>
      <w:bookmarkEnd w:id="30"/>
      <w:r>
        <w:rPr>
          <w:rFonts w:eastAsia="仿宋"/>
          <w:color w:val="auto"/>
          <w:kern w:val="0"/>
        </w:rPr>
        <w:t>水土流失及防治情况</w:t>
      </w:r>
      <w:bookmarkEnd w:id="31"/>
    </w:p>
    <w:p w14:paraId="0BE0BF24">
      <w:pPr>
        <w:tabs>
          <w:tab w:val="left" w:pos="4020"/>
        </w:tabs>
        <w:spacing w:line="348" w:lineRule="auto"/>
        <w:ind w:firstLine="560"/>
        <w:rPr>
          <w:rFonts w:eastAsia="仿宋"/>
          <w:bCs/>
          <w:color w:val="auto"/>
          <w:szCs w:val="28"/>
        </w:rPr>
      </w:pPr>
      <w:bookmarkStart w:id="32" w:name="_Hlk501618027"/>
      <w:r>
        <w:rPr>
          <w:rFonts w:eastAsia="仿宋"/>
          <w:bCs/>
          <w:color w:val="auto"/>
          <w:szCs w:val="28"/>
        </w:rPr>
        <w:t>按全国水土流失类型区的划分，项目区属于南方红壤丘陵区，容许土壤流失量为500t/km</w:t>
      </w:r>
      <w:r>
        <w:rPr>
          <w:rFonts w:eastAsia="仿宋"/>
          <w:bCs/>
          <w:color w:val="auto"/>
          <w:szCs w:val="28"/>
          <w:vertAlign w:val="superscript"/>
        </w:rPr>
        <w:t>2</w:t>
      </w:r>
      <w:r>
        <w:rPr>
          <w:rFonts w:eastAsia="仿宋"/>
          <w:bCs/>
          <w:color w:val="auto"/>
          <w:szCs w:val="28"/>
        </w:rPr>
        <w:t>.a。</w:t>
      </w:r>
      <w:r>
        <w:rPr>
          <w:rFonts w:hint="eastAsia" w:eastAsia="仿宋"/>
          <w:bCs/>
          <w:color w:val="auto"/>
          <w:szCs w:val="28"/>
        </w:rPr>
        <w:t>本</w:t>
      </w:r>
      <w:r>
        <w:rPr>
          <w:rFonts w:eastAsia="仿宋"/>
          <w:bCs/>
          <w:color w:val="auto"/>
          <w:szCs w:val="28"/>
        </w:rPr>
        <w:t>项目所在区域水土流失类型</w:t>
      </w:r>
      <w:r>
        <w:rPr>
          <w:rFonts w:hint="eastAsia" w:eastAsia="仿宋"/>
          <w:bCs/>
          <w:color w:val="auto"/>
          <w:szCs w:val="28"/>
        </w:rPr>
        <w:t>主要以水力侵蚀为主，兼有风蚀，表现形式主要是面蚀，土壤侵蚀强度微度为主。</w:t>
      </w:r>
      <w:r>
        <w:rPr>
          <w:rFonts w:eastAsia="仿宋"/>
          <w:bCs/>
          <w:color w:val="auto"/>
          <w:szCs w:val="28"/>
        </w:rPr>
        <w:t>根据调查的侵蚀模数，结合各占地类型的面积经加权平均计算，本项目原</w:t>
      </w:r>
      <w:r>
        <w:rPr>
          <w:rFonts w:hint="eastAsia" w:eastAsia="仿宋"/>
          <w:bCs/>
          <w:color w:val="auto"/>
          <w:szCs w:val="28"/>
        </w:rPr>
        <w:t>占地类型为耕地、园地、水域水利及设施用地。</w:t>
      </w:r>
      <w:r>
        <w:rPr>
          <w:rFonts w:eastAsia="仿宋"/>
          <w:bCs/>
          <w:color w:val="auto"/>
          <w:szCs w:val="28"/>
        </w:rPr>
        <w:t>计算确定项目占地范围内原生平均土壤侵蚀模数为</w:t>
      </w:r>
      <w:r>
        <w:rPr>
          <w:rFonts w:hint="eastAsia" w:eastAsia="仿宋"/>
          <w:bCs/>
          <w:color w:val="auto"/>
          <w:szCs w:val="28"/>
          <w:lang w:val="en-US" w:eastAsia="zh-CN"/>
        </w:rPr>
        <w:t>404.5</w:t>
      </w:r>
      <w:r>
        <w:rPr>
          <w:rFonts w:eastAsia="仿宋"/>
          <w:bCs/>
          <w:color w:val="auto"/>
          <w:szCs w:val="28"/>
        </w:rPr>
        <w:t>t/k</w:t>
      </w:r>
      <w:r>
        <w:rPr>
          <w:rFonts w:hint="default" w:ascii="Times New Roman" w:hAnsi="Times New Roman" w:eastAsia="仿宋" w:cs="Times New Roman"/>
          <w:bCs/>
          <w:color w:val="auto"/>
          <w:szCs w:val="28"/>
        </w:rPr>
        <w:t>m²</w:t>
      </w:r>
      <w:r>
        <w:rPr>
          <w:rFonts w:hint="default" w:ascii="Times New Roman" w:hAnsi="Times New Roman" w:eastAsia="仿宋" w:cs="Times New Roman"/>
          <w:bCs/>
          <w:color w:val="auto"/>
          <w:szCs w:val="28"/>
          <w:lang w:val="en-US" w:eastAsia="zh-CN"/>
        </w:rPr>
        <w:t>·</w:t>
      </w:r>
      <w:r>
        <w:rPr>
          <w:rFonts w:eastAsia="仿宋"/>
          <w:bCs/>
          <w:color w:val="auto"/>
          <w:szCs w:val="28"/>
        </w:rPr>
        <w:t>a。</w:t>
      </w:r>
    </w:p>
    <w:p w14:paraId="5F00814A">
      <w:pPr>
        <w:tabs>
          <w:tab w:val="left" w:pos="4020"/>
        </w:tabs>
        <w:spacing w:line="348" w:lineRule="auto"/>
        <w:ind w:firstLine="560"/>
        <w:rPr>
          <w:rFonts w:eastAsia="仿宋"/>
          <w:bCs/>
          <w:color w:val="auto"/>
          <w:szCs w:val="28"/>
        </w:rPr>
      </w:pPr>
      <w:r>
        <w:rPr>
          <w:rFonts w:eastAsia="仿宋"/>
          <w:bCs/>
          <w:color w:val="auto"/>
          <w:szCs w:val="28"/>
        </w:rPr>
        <w:t>根据《生产建设项目水土流失防治标准》（GB/T50434-2018）的规定：生产建设项目水土流失防治标准等级应根据项目所处地区水土保持敏感程度和水土流失影响程度确定，应符合下列规定：1、项目位于人民政府和相关机构确定的水土流失重点预防区和重点治理区、饮用水水源保护区、水功能一级区的保护区和保留区、自然保护区、世界文化和自然遗产地、风景名胜区、地质公园、森林公园、重点湿地，且不能避让的，以及位于县级及以上城市区域的，应执行一级标准；2、项目位于湖泊和已建成水库周边、四级及以上河道两岸3km汇流范围区，或项目周边500m范围内有乡镇、居民点的，且不在一级标准区域的应执行二级标准；3、项目位于一级、二级标准区域以外的，应执行三级标准。</w:t>
      </w:r>
    </w:p>
    <w:p w14:paraId="34B3C81E">
      <w:pPr>
        <w:tabs>
          <w:tab w:val="left" w:pos="4020"/>
        </w:tabs>
        <w:spacing w:line="348" w:lineRule="auto"/>
        <w:ind w:firstLine="560"/>
        <w:rPr>
          <w:rFonts w:eastAsia="仿宋"/>
          <w:bCs/>
          <w:color w:val="auto"/>
          <w:szCs w:val="28"/>
        </w:rPr>
      </w:pPr>
      <w:r>
        <w:rPr>
          <w:rFonts w:eastAsia="仿宋"/>
          <w:bCs/>
          <w:color w:val="auto"/>
          <w:szCs w:val="28"/>
        </w:rPr>
        <w:t>根据《全国水土保持规划国家级水土流失重点预防区和重点治理区复核划分成果》（办水保〔2013〕188号），</w:t>
      </w:r>
      <w:r>
        <w:rPr>
          <w:rFonts w:hint="eastAsia" w:eastAsia="仿宋"/>
          <w:bCs/>
          <w:color w:val="auto"/>
          <w:szCs w:val="28"/>
          <w:lang w:val="en-US" w:eastAsia="zh-CN"/>
        </w:rPr>
        <w:t>鼓楼区</w:t>
      </w:r>
      <w:r>
        <w:rPr>
          <w:rFonts w:eastAsia="仿宋"/>
          <w:bCs/>
          <w:color w:val="auto"/>
          <w:szCs w:val="28"/>
        </w:rPr>
        <w:t>不属于国家级水土流失重点预防区和重点治理区</w:t>
      </w:r>
      <w:r>
        <w:rPr>
          <w:rFonts w:hint="eastAsia" w:eastAsia="仿宋"/>
          <w:bCs/>
          <w:color w:val="auto"/>
          <w:szCs w:val="28"/>
          <w:lang w:eastAsia="zh-CN"/>
        </w:rPr>
        <w:t>，</w:t>
      </w:r>
      <w:r>
        <w:rPr>
          <w:rFonts w:hint="eastAsia" w:eastAsia="仿宋"/>
          <w:bCs/>
          <w:color w:val="auto"/>
          <w:szCs w:val="28"/>
          <w:lang w:val="en-US" w:eastAsia="zh-CN"/>
        </w:rPr>
        <w:t>五凤街道</w:t>
      </w:r>
      <w:r>
        <w:rPr>
          <w:rFonts w:hint="eastAsia" w:eastAsia="仿宋"/>
          <w:bCs/>
          <w:color w:val="auto"/>
          <w:szCs w:val="28"/>
        </w:rPr>
        <w:t>未列入省级水土流失重点防治区</w:t>
      </w:r>
      <w:r>
        <w:rPr>
          <w:rFonts w:eastAsia="仿宋"/>
          <w:bCs/>
          <w:color w:val="auto"/>
          <w:szCs w:val="28"/>
        </w:rPr>
        <w:t>；根据《生产建设项目水土流失防治标准》（GB/T50434-2018）相关规定，</w:t>
      </w:r>
      <w:r>
        <w:rPr>
          <w:rFonts w:hint="eastAsia" w:eastAsia="仿宋"/>
          <w:bCs/>
          <w:color w:val="auto"/>
          <w:szCs w:val="28"/>
        </w:rPr>
        <w:t>项目位于城市区域，因此项目水土流失防治标准执南方红壤区一级标准</w:t>
      </w:r>
      <w:r>
        <w:rPr>
          <w:rFonts w:eastAsia="仿宋"/>
          <w:bCs/>
          <w:color w:val="auto"/>
          <w:szCs w:val="28"/>
        </w:rPr>
        <w:t>。</w:t>
      </w:r>
    </w:p>
    <w:p w14:paraId="6288FCEB">
      <w:pPr>
        <w:tabs>
          <w:tab w:val="left" w:pos="4020"/>
        </w:tabs>
        <w:spacing w:line="348" w:lineRule="auto"/>
        <w:ind w:firstLine="560"/>
        <w:rPr>
          <w:rFonts w:eastAsia="仿宋"/>
          <w:bCs/>
          <w:color w:val="auto"/>
          <w:szCs w:val="28"/>
        </w:rPr>
      </w:pPr>
      <w:r>
        <w:rPr>
          <w:rFonts w:eastAsia="仿宋"/>
          <w:bCs/>
          <w:color w:val="auto"/>
          <w:szCs w:val="28"/>
        </w:rPr>
        <w:t>在水土保持预防监督工作方面，</w:t>
      </w:r>
      <w:r>
        <w:rPr>
          <w:rFonts w:hint="eastAsia" w:eastAsia="仿宋"/>
          <w:bCs/>
          <w:color w:val="auto"/>
          <w:szCs w:val="28"/>
          <w:lang w:val="en-US" w:eastAsia="zh-CN"/>
        </w:rPr>
        <w:t>福州市</w:t>
      </w:r>
      <w:r>
        <w:rPr>
          <w:rFonts w:hint="eastAsia" w:eastAsia="仿宋"/>
          <w:bCs/>
          <w:color w:val="auto"/>
          <w:szCs w:val="28"/>
          <w:lang w:eastAsia="zh-CN"/>
        </w:rPr>
        <w:t>水利局</w:t>
      </w:r>
      <w:r>
        <w:rPr>
          <w:rFonts w:eastAsia="仿宋"/>
          <w:bCs/>
          <w:color w:val="auto"/>
          <w:szCs w:val="28"/>
        </w:rPr>
        <w:t>按照《</w:t>
      </w:r>
      <w:r>
        <w:rPr>
          <w:rFonts w:hint="eastAsia" w:eastAsia="仿宋"/>
          <w:bCs/>
          <w:color w:val="auto"/>
          <w:szCs w:val="28"/>
          <w:lang w:eastAsia="zh-CN"/>
        </w:rPr>
        <w:t>中华人民共和国水土保持法</w:t>
      </w:r>
      <w:r>
        <w:rPr>
          <w:rFonts w:eastAsia="仿宋"/>
          <w:bCs/>
          <w:color w:val="auto"/>
          <w:szCs w:val="28"/>
        </w:rPr>
        <w:t>》要求，确立</w:t>
      </w:r>
      <w:r>
        <w:rPr>
          <w:rFonts w:hint="eastAsia" w:eastAsia="仿宋"/>
          <w:bCs/>
          <w:color w:val="auto"/>
          <w:szCs w:val="28"/>
        </w:rPr>
        <w:t>“</w:t>
      </w:r>
      <w:r>
        <w:rPr>
          <w:rFonts w:eastAsia="仿宋"/>
          <w:bCs/>
          <w:color w:val="auto"/>
          <w:szCs w:val="28"/>
        </w:rPr>
        <w:t>预防为主、保护优先、全面规划、综合治理、因地制宜、突出重点、科学管理、注重效益</w:t>
      </w:r>
      <w:r>
        <w:rPr>
          <w:rFonts w:hint="eastAsia" w:eastAsia="仿宋"/>
          <w:bCs/>
          <w:color w:val="auto"/>
          <w:szCs w:val="28"/>
        </w:rPr>
        <w:t>”</w:t>
      </w:r>
      <w:r>
        <w:rPr>
          <w:rFonts w:eastAsia="仿宋"/>
          <w:bCs/>
          <w:color w:val="auto"/>
          <w:szCs w:val="28"/>
        </w:rPr>
        <w:t>的方针，不断加强水土保持预防、保护和监督的力度，强调对开发建设项目可能造成的水土流失，必须编制水土保持方案，严格做好水土保持生产建设项目的水土保持审批、检查、监督和收费工作。坚持</w:t>
      </w:r>
      <w:r>
        <w:rPr>
          <w:rFonts w:hint="eastAsia" w:eastAsia="仿宋"/>
          <w:bCs/>
          <w:color w:val="auto"/>
          <w:szCs w:val="28"/>
        </w:rPr>
        <w:t>“</w:t>
      </w:r>
      <w:r>
        <w:rPr>
          <w:rFonts w:eastAsia="仿宋"/>
          <w:bCs/>
          <w:color w:val="auto"/>
          <w:szCs w:val="28"/>
        </w:rPr>
        <w:t>谁造成流失，谁负责治理</w:t>
      </w:r>
      <w:r>
        <w:rPr>
          <w:rFonts w:hint="eastAsia" w:eastAsia="仿宋"/>
          <w:bCs/>
          <w:color w:val="auto"/>
          <w:szCs w:val="28"/>
        </w:rPr>
        <w:t>”</w:t>
      </w:r>
      <w:r>
        <w:rPr>
          <w:rFonts w:eastAsia="仿宋"/>
          <w:bCs/>
          <w:color w:val="auto"/>
          <w:szCs w:val="28"/>
        </w:rPr>
        <w:t>的原则，落实水土保持</w:t>
      </w:r>
      <w:r>
        <w:rPr>
          <w:rFonts w:hint="eastAsia" w:eastAsia="仿宋"/>
          <w:bCs/>
          <w:color w:val="auto"/>
          <w:szCs w:val="28"/>
        </w:rPr>
        <w:t>“</w:t>
      </w:r>
      <w:r>
        <w:rPr>
          <w:rFonts w:eastAsia="仿宋"/>
          <w:bCs/>
          <w:color w:val="auto"/>
          <w:szCs w:val="28"/>
        </w:rPr>
        <w:t>三同时</w:t>
      </w:r>
      <w:r>
        <w:rPr>
          <w:rFonts w:hint="eastAsia" w:eastAsia="仿宋"/>
          <w:bCs/>
          <w:color w:val="auto"/>
          <w:szCs w:val="28"/>
        </w:rPr>
        <w:t>”</w:t>
      </w:r>
      <w:r>
        <w:rPr>
          <w:rFonts w:eastAsia="仿宋"/>
          <w:bCs/>
          <w:color w:val="auto"/>
          <w:szCs w:val="28"/>
        </w:rPr>
        <w:t>制度。通过各种形式宣传《</w:t>
      </w:r>
      <w:r>
        <w:rPr>
          <w:rFonts w:hint="eastAsia" w:eastAsia="仿宋"/>
          <w:bCs/>
          <w:color w:val="auto"/>
          <w:szCs w:val="28"/>
          <w:lang w:eastAsia="zh-CN"/>
        </w:rPr>
        <w:t>中华人民共和国水土保持法</w:t>
      </w:r>
      <w:r>
        <w:rPr>
          <w:rFonts w:eastAsia="仿宋"/>
          <w:bCs/>
          <w:color w:val="auto"/>
          <w:szCs w:val="28"/>
        </w:rPr>
        <w:t>》加大宣传力度，增强全民水土保持意识，使人民认识到水土资源是人类发展的最基</w:t>
      </w:r>
      <w:r>
        <w:rPr>
          <w:rFonts w:hint="eastAsia" w:eastAsia="仿宋"/>
          <w:bCs/>
          <w:color w:val="auto"/>
          <w:szCs w:val="28"/>
          <w:lang w:eastAsia="zh-CN"/>
        </w:rPr>
        <w:t>本的</w:t>
      </w:r>
      <w:r>
        <w:rPr>
          <w:rFonts w:eastAsia="仿宋"/>
          <w:bCs/>
          <w:color w:val="auto"/>
          <w:szCs w:val="28"/>
        </w:rPr>
        <w:t>物质基础。</w:t>
      </w:r>
    </w:p>
    <w:p w14:paraId="00BF9AEA">
      <w:pPr>
        <w:adjustRightInd w:val="0"/>
        <w:snapToGrid w:val="0"/>
        <w:ind w:firstLine="560"/>
        <w:rPr>
          <w:rFonts w:eastAsia="仿宋"/>
          <w:bCs/>
          <w:color w:val="auto"/>
          <w:szCs w:val="28"/>
          <w:highlight w:val="yellow"/>
        </w:rPr>
        <w:sectPr>
          <w:headerReference r:id="rId11" w:type="default"/>
          <w:footerReference r:id="rId13" w:type="default"/>
          <w:headerReference r:id="rId12" w:type="even"/>
          <w:footerReference r:id="rId14"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start="1"/>
          <w:cols w:space="0" w:num="1"/>
          <w:docGrid w:type="lines" w:linePitch="398" w:charSpace="0"/>
        </w:sectPr>
      </w:pPr>
    </w:p>
    <w:bookmarkEnd w:id="32"/>
    <w:p w14:paraId="1F4ED519">
      <w:pPr>
        <w:pStyle w:val="2"/>
        <w:widowControl/>
        <w:adjustRightInd w:val="0"/>
        <w:snapToGrid w:val="0"/>
        <w:spacing w:line="480" w:lineRule="auto"/>
        <w:ind w:firstLine="723"/>
        <w:rPr>
          <w:rFonts w:eastAsia="仿宋"/>
          <w:color w:val="auto"/>
          <w:szCs w:val="22"/>
        </w:rPr>
      </w:pPr>
      <w:bookmarkStart w:id="33" w:name="_Toc26252"/>
      <w:bookmarkStart w:id="34" w:name="_Toc30821"/>
      <w:bookmarkStart w:id="35" w:name="_Toc31556"/>
      <w:r>
        <w:rPr>
          <w:rFonts w:eastAsia="仿宋"/>
          <w:color w:val="auto"/>
          <w:szCs w:val="22"/>
        </w:rPr>
        <w:t>2  水土保持方案和设计情况</w:t>
      </w:r>
      <w:bookmarkEnd w:id="33"/>
      <w:bookmarkEnd w:id="34"/>
      <w:bookmarkEnd w:id="35"/>
    </w:p>
    <w:p w14:paraId="6E4E5058">
      <w:pPr>
        <w:pStyle w:val="3"/>
        <w:widowControl/>
        <w:rPr>
          <w:rFonts w:eastAsia="仿宋"/>
          <w:color w:val="auto"/>
          <w:kern w:val="0"/>
          <w:szCs w:val="30"/>
        </w:rPr>
      </w:pPr>
      <w:bookmarkStart w:id="36" w:name="_Toc9597"/>
      <w:bookmarkStart w:id="37" w:name="_Toc21347"/>
      <w:bookmarkStart w:id="38" w:name="_Toc19513"/>
      <w:r>
        <w:rPr>
          <w:rFonts w:eastAsia="仿宋"/>
          <w:color w:val="auto"/>
          <w:kern w:val="0"/>
          <w:szCs w:val="30"/>
        </w:rPr>
        <w:t>2.1主体工程设计</w:t>
      </w:r>
      <w:bookmarkEnd w:id="36"/>
      <w:bookmarkEnd w:id="37"/>
      <w:bookmarkEnd w:id="38"/>
    </w:p>
    <w:p w14:paraId="667CDA32">
      <w:pPr>
        <w:widowControl/>
        <w:adjustRightInd w:val="0"/>
        <w:snapToGrid w:val="0"/>
        <w:ind w:firstLine="560"/>
        <w:rPr>
          <w:rFonts w:hint="eastAsia" w:eastAsia="仿宋"/>
          <w:color w:val="auto"/>
          <w:kern w:val="0"/>
          <w:szCs w:val="28"/>
        </w:rPr>
      </w:pPr>
      <w:r>
        <w:rPr>
          <w:rFonts w:hint="eastAsia" w:eastAsia="仿宋"/>
          <w:color w:val="auto"/>
          <w:kern w:val="0"/>
          <w:szCs w:val="28"/>
        </w:rPr>
        <w:t>2022年</w:t>
      </w:r>
      <w:r>
        <w:rPr>
          <w:rFonts w:hint="eastAsia" w:eastAsia="仿宋"/>
          <w:color w:val="auto"/>
          <w:kern w:val="0"/>
          <w:szCs w:val="28"/>
          <w:lang w:val="en-US" w:eastAsia="zh-CN"/>
        </w:rPr>
        <w:t>5</w:t>
      </w:r>
      <w:r>
        <w:rPr>
          <w:rFonts w:hint="eastAsia" w:eastAsia="仿宋"/>
          <w:color w:val="auto"/>
          <w:kern w:val="0"/>
          <w:szCs w:val="28"/>
        </w:rPr>
        <w:t>月，福建硕贤工程技术咨询服务有限公司编制完成《福州市延安中学教育集团国福校区可行性研究报告》。</w:t>
      </w:r>
    </w:p>
    <w:p w14:paraId="1B8F58E5">
      <w:pPr>
        <w:widowControl/>
        <w:adjustRightInd w:val="0"/>
        <w:snapToGrid w:val="0"/>
        <w:ind w:firstLine="560"/>
        <w:rPr>
          <w:rFonts w:hint="eastAsia" w:eastAsia="仿宋"/>
          <w:color w:val="auto"/>
          <w:kern w:val="0"/>
          <w:szCs w:val="28"/>
        </w:rPr>
      </w:pPr>
      <w:r>
        <w:rPr>
          <w:rFonts w:hint="eastAsia" w:eastAsia="仿宋"/>
          <w:color w:val="auto"/>
          <w:kern w:val="0"/>
          <w:szCs w:val="28"/>
        </w:rPr>
        <w:t>2022年</w:t>
      </w:r>
      <w:r>
        <w:rPr>
          <w:rFonts w:hint="eastAsia" w:eastAsia="仿宋"/>
          <w:color w:val="auto"/>
          <w:kern w:val="0"/>
          <w:szCs w:val="28"/>
          <w:lang w:val="en-US" w:eastAsia="zh-CN"/>
        </w:rPr>
        <w:t>3</w:t>
      </w:r>
      <w:r>
        <w:rPr>
          <w:rFonts w:hint="eastAsia" w:eastAsia="仿宋"/>
          <w:color w:val="auto"/>
          <w:kern w:val="0"/>
          <w:szCs w:val="28"/>
        </w:rPr>
        <w:t>月</w:t>
      </w:r>
      <w:r>
        <w:rPr>
          <w:rFonts w:hint="eastAsia" w:eastAsia="仿宋"/>
          <w:color w:val="auto"/>
          <w:kern w:val="0"/>
          <w:szCs w:val="28"/>
          <w:lang w:val="en-US" w:eastAsia="zh-CN"/>
        </w:rPr>
        <w:t>31</w:t>
      </w:r>
      <w:r>
        <w:rPr>
          <w:rFonts w:hint="eastAsia" w:eastAsia="仿宋"/>
          <w:color w:val="auto"/>
          <w:kern w:val="0"/>
          <w:szCs w:val="28"/>
        </w:rPr>
        <w:t>日，取得福州市鼓楼区发展和改革局关于《福州市延安</w:t>
      </w:r>
      <w:r>
        <w:rPr>
          <w:rFonts w:hint="eastAsia" w:eastAsia="仿宋"/>
          <w:color w:val="auto"/>
          <w:kern w:val="0"/>
          <w:szCs w:val="28"/>
          <w:lang w:val="en-US" w:eastAsia="zh-CN"/>
        </w:rPr>
        <w:t>中</w:t>
      </w:r>
      <w:r>
        <w:rPr>
          <w:rFonts w:hint="eastAsia" w:eastAsia="仿宋"/>
          <w:color w:val="auto"/>
          <w:kern w:val="0"/>
          <w:szCs w:val="28"/>
        </w:rPr>
        <w:t>学教育集团国福校区项目可行性研究报告的批复》。</w:t>
      </w:r>
    </w:p>
    <w:p w14:paraId="118A1D74">
      <w:pPr>
        <w:widowControl/>
        <w:adjustRightInd w:val="0"/>
        <w:snapToGrid w:val="0"/>
        <w:ind w:firstLine="560"/>
        <w:rPr>
          <w:rFonts w:hint="eastAsia" w:eastAsia="仿宋"/>
          <w:color w:val="auto"/>
          <w:kern w:val="0"/>
          <w:szCs w:val="28"/>
        </w:rPr>
      </w:pPr>
      <w:r>
        <w:rPr>
          <w:rFonts w:hint="eastAsia" w:eastAsia="仿宋"/>
          <w:color w:val="auto"/>
          <w:kern w:val="0"/>
          <w:szCs w:val="28"/>
        </w:rPr>
        <w:t>2023年</w:t>
      </w:r>
      <w:r>
        <w:rPr>
          <w:rFonts w:hint="eastAsia" w:eastAsia="仿宋"/>
          <w:color w:val="auto"/>
          <w:kern w:val="0"/>
          <w:szCs w:val="28"/>
          <w:lang w:val="en-US" w:eastAsia="zh-CN"/>
        </w:rPr>
        <w:t>3</w:t>
      </w:r>
      <w:r>
        <w:rPr>
          <w:rFonts w:hint="eastAsia" w:eastAsia="仿宋"/>
          <w:color w:val="auto"/>
          <w:kern w:val="0"/>
          <w:szCs w:val="28"/>
        </w:rPr>
        <w:t>月，福州市勘测院有限公司完成《福州市延安中学教育集团国福校区岩土工程勘察报告》。</w:t>
      </w:r>
    </w:p>
    <w:p w14:paraId="6A354DD4">
      <w:pPr>
        <w:widowControl/>
        <w:adjustRightInd w:val="0"/>
        <w:snapToGrid w:val="0"/>
        <w:ind w:firstLine="560"/>
        <w:rPr>
          <w:rFonts w:hint="eastAsia"/>
          <w:lang w:eastAsia="zh-CN"/>
        </w:rPr>
      </w:pPr>
      <w:r>
        <w:rPr>
          <w:rFonts w:hint="eastAsia" w:eastAsia="仿宋"/>
          <w:color w:val="auto"/>
          <w:kern w:val="0"/>
          <w:szCs w:val="28"/>
        </w:rPr>
        <w:t>2023年</w:t>
      </w:r>
      <w:r>
        <w:rPr>
          <w:rFonts w:hint="eastAsia" w:eastAsia="仿宋"/>
          <w:color w:val="auto"/>
          <w:kern w:val="0"/>
          <w:szCs w:val="28"/>
          <w:lang w:val="en-US" w:eastAsia="zh-CN"/>
        </w:rPr>
        <w:t>5</w:t>
      </w:r>
      <w:r>
        <w:rPr>
          <w:rFonts w:hint="eastAsia" w:eastAsia="仿宋"/>
          <w:color w:val="auto"/>
          <w:kern w:val="0"/>
          <w:szCs w:val="28"/>
        </w:rPr>
        <w:t>月，福建省二建建设集团有限公司完成《福州市延安中学教育集团国福校区建筑设计方案》。</w:t>
      </w:r>
    </w:p>
    <w:p w14:paraId="22065D9C">
      <w:pPr>
        <w:pStyle w:val="3"/>
        <w:widowControl/>
        <w:rPr>
          <w:color w:val="auto"/>
        </w:rPr>
      </w:pPr>
      <w:bookmarkStart w:id="39" w:name="_Toc24164"/>
      <w:bookmarkStart w:id="40" w:name="_Toc28170"/>
      <w:bookmarkStart w:id="41" w:name="_Toc12866"/>
      <w:r>
        <w:rPr>
          <w:rFonts w:eastAsia="仿宋"/>
          <w:color w:val="auto"/>
          <w:kern w:val="0"/>
          <w:szCs w:val="30"/>
        </w:rPr>
        <w:t>2.2水土保持方案</w:t>
      </w:r>
      <w:bookmarkEnd w:id="39"/>
      <w:bookmarkEnd w:id="40"/>
      <w:bookmarkEnd w:id="41"/>
    </w:p>
    <w:p w14:paraId="383599F6">
      <w:pPr>
        <w:widowControl/>
        <w:adjustRightInd w:val="0"/>
        <w:snapToGrid w:val="0"/>
        <w:ind w:firstLine="560"/>
        <w:rPr>
          <w:rFonts w:hint="default" w:ascii="Times New Roman" w:hAnsi="Times New Roman" w:eastAsia="仿宋" w:cs="Times New Roman"/>
          <w:color w:val="auto"/>
          <w:kern w:val="0"/>
          <w:szCs w:val="28"/>
          <w:lang w:val="en-US" w:eastAsia="zh-CN"/>
        </w:rPr>
      </w:pPr>
      <w:r>
        <w:rPr>
          <w:rFonts w:hint="eastAsia" w:eastAsia="仿宋" w:cs="Times New Roman"/>
          <w:color w:val="auto"/>
          <w:kern w:val="0"/>
          <w:szCs w:val="28"/>
          <w:lang w:val="en-US" w:eastAsia="zh-CN"/>
        </w:rPr>
        <w:t>福建省福州延安中学</w:t>
      </w:r>
      <w:r>
        <w:rPr>
          <w:rFonts w:hint="eastAsia" w:ascii="Times New Roman" w:hAnsi="Times New Roman" w:eastAsia="仿宋" w:cs="Times New Roman"/>
          <w:color w:val="auto"/>
          <w:kern w:val="0"/>
          <w:szCs w:val="28"/>
          <w:lang w:eastAsia="zh-CN"/>
        </w:rPr>
        <w:t>于20</w:t>
      </w:r>
      <w:r>
        <w:rPr>
          <w:rFonts w:hint="eastAsia" w:eastAsia="仿宋" w:cs="Times New Roman"/>
          <w:color w:val="auto"/>
          <w:kern w:val="0"/>
          <w:szCs w:val="28"/>
          <w:lang w:val="en-US" w:eastAsia="zh-CN"/>
        </w:rPr>
        <w:t>23</w:t>
      </w:r>
      <w:r>
        <w:rPr>
          <w:rFonts w:hint="eastAsia" w:ascii="Times New Roman" w:hAnsi="Times New Roman" w:eastAsia="仿宋" w:cs="Times New Roman"/>
          <w:color w:val="auto"/>
          <w:kern w:val="0"/>
          <w:szCs w:val="28"/>
          <w:lang w:eastAsia="zh-CN"/>
        </w:rPr>
        <w:t>年</w:t>
      </w:r>
      <w:r>
        <w:rPr>
          <w:rFonts w:hint="eastAsia" w:eastAsia="仿宋" w:cs="Times New Roman"/>
          <w:color w:val="auto"/>
          <w:kern w:val="0"/>
          <w:szCs w:val="28"/>
          <w:lang w:val="en-US" w:eastAsia="zh-CN"/>
        </w:rPr>
        <w:t>8</w:t>
      </w:r>
      <w:r>
        <w:rPr>
          <w:rFonts w:hint="eastAsia" w:ascii="Times New Roman" w:hAnsi="Times New Roman" w:eastAsia="仿宋" w:cs="Times New Roman"/>
          <w:color w:val="auto"/>
          <w:kern w:val="0"/>
          <w:szCs w:val="28"/>
          <w:lang w:eastAsia="zh-CN"/>
        </w:rPr>
        <w:t>月委托</w:t>
      </w:r>
      <w:r>
        <w:rPr>
          <w:rFonts w:hint="eastAsia" w:eastAsia="仿宋" w:cs="Times New Roman"/>
          <w:color w:val="auto"/>
          <w:kern w:val="0"/>
          <w:szCs w:val="28"/>
          <w:lang w:eastAsia="zh-CN"/>
        </w:rPr>
        <w:t>福州市勘测院有限公司</w:t>
      </w:r>
      <w:r>
        <w:rPr>
          <w:rFonts w:hint="eastAsia" w:ascii="Times New Roman" w:hAnsi="Times New Roman" w:eastAsia="仿宋" w:cs="Times New Roman"/>
          <w:color w:val="auto"/>
          <w:kern w:val="0"/>
          <w:szCs w:val="28"/>
          <w:lang w:eastAsia="zh-CN"/>
        </w:rPr>
        <w:t>编制该项目的水土保持方案报告书。按照生产建设项目水土保持技术标准等要求，</w:t>
      </w:r>
      <w:r>
        <w:rPr>
          <w:rFonts w:hint="eastAsia" w:eastAsia="仿宋" w:cs="Times New Roman"/>
          <w:color w:val="auto"/>
          <w:kern w:val="0"/>
          <w:szCs w:val="28"/>
          <w:lang w:eastAsia="zh-CN"/>
        </w:rPr>
        <w:t>福州市勘测院有限公司</w:t>
      </w:r>
      <w:r>
        <w:rPr>
          <w:rFonts w:hint="eastAsia" w:ascii="Times New Roman" w:hAnsi="Times New Roman" w:eastAsia="仿宋" w:cs="Times New Roman"/>
          <w:color w:val="auto"/>
          <w:kern w:val="0"/>
          <w:szCs w:val="28"/>
          <w:lang w:eastAsia="zh-CN"/>
        </w:rPr>
        <w:t>于202</w:t>
      </w:r>
      <w:r>
        <w:rPr>
          <w:rFonts w:hint="eastAsia" w:eastAsia="仿宋" w:cs="Times New Roman"/>
          <w:color w:val="auto"/>
          <w:kern w:val="0"/>
          <w:szCs w:val="28"/>
          <w:lang w:val="en-US" w:eastAsia="zh-CN"/>
        </w:rPr>
        <w:t>3</w:t>
      </w:r>
      <w:r>
        <w:rPr>
          <w:rFonts w:hint="eastAsia" w:ascii="Times New Roman" w:hAnsi="Times New Roman" w:eastAsia="仿宋" w:cs="Times New Roman"/>
          <w:color w:val="auto"/>
          <w:kern w:val="0"/>
          <w:szCs w:val="28"/>
          <w:lang w:eastAsia="zh-CN"/>
        </w:rPr>
        <w:t>年</w:t>
      </w:r>
      <w:r>
        <w:rPr>
          <w:rFonts w:hint="eastAsia" w:eastAsia="仿宋" w:cs="Times New Roman"/>
          <w:color w:val="auto"/>
          <w:kern w:val="0"/>
          <w:szCs w:val="28"/>
          <w:lang w:val="en-US" w:eastAsia="zh-CN"/>
        </w:rPr>
        <w:t>9</w:t>
      </w:r>
      <w:r>
        <w:rPr>
          <w:rFonts w:hint="eastAsia" w:ascii="Times New Roman" w:hAnsi="Times New Roman" w:eastAsia="仿宋" w:cs="Times New Roman"/>
          <w:color w:val="auto"/>
          <w:kern w:val="0"/>
          <w:szCs w:val="28"/>
          <w:lang w:eastAsia="zh-CN"/>
        </w:rPr>
        <w:t>月编制完成《</w:t>
      </w:r>
      <w:r>
        <w:rPr>
          <w:rFonts w:hint="eastAsia" w:eastAsia="仿宋" w:cs="Times New Roman"/>
          <w:color w:val="auto"/>
          <w:kern w:val="0"/>
          <w:szCs w:val="28"/>
          <w:lang w:eastAsia="zh-CN"/>
        </w:rPr>
        <w:t>福州市延安中学教育集团国福校区</w:t>
      </w:r>
      <w:r>
        <w:rPr>
          <w:rFonts w:hint="eastAsia" w:ascii="Times New Roman" w:hAnsi="Times New Roman" w:eastAsia="仿宋" w:cs="Times New Roman"/>
          <w:color w:val="auto"/>
          <w:kern w:val="0"/>
          <w:szCs w:val="28"/>
          <w:lang w:eastAsia="zh-CN"/>
        </w:rPr>
        <w:t>水土保持方案报告书</w:t>
      </w:r>
      <w:r>
        <w:rPr>
          <w:rFonts w:hint="eastAsia" w:eastAsia="仿宋" w:cs="Times New Roman"/>
          <w:color w:val="auto"/>
          <w:kern w:val="0"/>
          <w:szCs w:val="28"/>
          <w:lang w:val="en-US" w:eastAsia="zh-CN"/>
        </w:rPr>
        <w:t>送审稿</w:t>
      </w:r>
      <w:r>
        <w:rPr>
          <w:rFonts w:hint="eastAsia" w:ascii="Times New Roman" w:hAnsi="Times New Roman" w:eastAsia="仿宋" w:cs="Times New Roman"/>
          <w:color w:val="auto"/>
          <w:kern w:val="0"/>
          <w:szCs w:val="28"/>
          <w:lang w:eastAsia="zh-CN"/>
        </w:rPr>
        <w:t>》。</w:t>
      </w:r>
      <w:r>
        <w:rPr>
          <w:rFonts w:hint="eastAsia" w:eastAsia="仿宋" w:cs="Times New Roman"/>
          <w:color w:val="auto"/>
          <w:kern w:val="0"/>
          <w:szCs w:val="28"/>
          <w:lang w:val="en-US" w:eastAsia="zh-CN"/>
        </w:rPr>
        <w:t>2023年10月，</w:t>
      </w:r>
      <w:r>
        <w:rPr>
          <w:rFonts w:hint="eastAsia" w:eastAsia="仿宋" w:cs="Times New Roman"/>
          <w:color w:val="auto"/>
          <w:kern w:val="0"/>
          <w:szCs w:val="28"/>
          <w:lang w:eastAsia="zh-CN"/>
        </w:rPr>
        <w:t>福州市勘测院有限公司</w:t>
      </w:r>
      <w:r>
        <w:rPr>
          <w:rFonts w:hint="eastAsia" w:eastAsia="仿宋" w:cs="Times New Roman"/>
          <w:color w:val="auto"/>
          <w:kern w:val="0"/>
          <w:szCs w:val="28"/>
          <w:lang w:val="en-US" w:eastAsia="zh-CN"/>
        </w:rPr>
        <w:t>根据专家组意见修编完成《福州市延安中学教育集团国福校区水土保持方案报告书》（报批稿）。</w:t>
      </w:r>
    </w:p>
    <w:p w14:paraId="6B968966">
      <w:pPr>
        <w:widowControl/>
        <w:adjustRightInd w:val="0"/>
        <w:snapToGrid w:val="0"/>
        <w:ind w:firstLine="560"/>
        <w:rPr>
          <w:rFonts w:hint="eastAsia" w:ascii="Times New Roman" w:hAnsi="Times New Roman" w:eastAsia="仿宋" w:cs="Times New Roman"/>
          <w:color w:val="auto"/>
          <w:kern w:val="0"/>
          <w:szCs w:val="28"/>
        </w:rPr>
      </w:pPr>
      <w:r>
        <w:rPr>
          <w:rFonts w:hint="eastAsia" w:eastAsia="仿宋" w:cs="Times New Roman"/>
          <w:color w:val="auto"/>
          <w:kern w:val="0"/>
          <w:szCs w:val="28"/>
          <w:lang w:eastAsia="zh-CN"/>
        </w:rPr>
        <w:t>202</w:t>
      </w:r>
      <w:r>
        <w:rPr>
          <w:rFonts w:hint="eastAsia" w:eastAsia="仿宋" w:cs="Times New Roman"/>
          <w:color w:val="auto"/>
          <w:kern w:val="0"/>
          <w:szCs w:val="28"/>
          <w:lang w:val="en-US" w:eastAsia="zh-CN"/>
        </w:rPr>
        <w:t>3</w:t>
      </w:r>
      <w:r>
        <w:rPr>
          <w:rFonts w:hint="eastAsia" w:eastAsia="仿宋" w:cs="Times New Roman"/>
          <w:color w:val="auto"/>
          <w:kern w:val="0"/>
          <w:szCs w:val="28"/>
          <w:lang w:eastAsia="zh-CN"/>
        </w:rPr>
        <w:t>年</w:t>
      </w:r>
      <w:r>
        <w:rPr>
          <w:rFonts w:hint="eastAsia" w:eastAsia="仿宋" w:cs="Times New Roman"/>
          <w:color w:val="auto"/>
          <w:kern w:val="0"/>
          <w:szCs w:val="28"/>
          <w:lang w:val="en-US" w:eastAsia="zh-CN"/>
        </w:rPr>
        <w:t>10</w:t>
      </w:r>
      <w:r>
        <w:rPr>
          <w:rFonts w:hint="eastAsia" w:eastAsia="仿宋" w:cs="Times New Roman"/>
          <w:color w:val="auto"/>
          <w:kern w:val="0"/>
          <w:szCs w:val="28"/>
          <w:lang w:eastAsia="zh-CN"/>
        </w:rPr>
        <w:t>月</w:t>
      </w:r>
      <w:r>
        <w:rPr>
          <w:rFonts w:hint="eastAsia" w:eastAsia="仿宋" w:cs="Times New Roman"/>
          <w:color w:val="auto"/>
          <w:kern w:val="0"/>
          <w:szCs w:val="28"/>
          <w:lang w:val="en-US" w:eastAsia="zh-CN"/>
        </w:rPr>
        <w:t>24</w:t>
      </w:r>
      <w:r>
        <w:rPr>
          <w:rFonts w:hint="eastAsia" w:eastAsia="仿宋" w:cs="Times New Roman"/>
          <w:color w:val="auto"/>
          <w:kern w:val="0"/>
          <w:szCs w:val="28"/>
          <w:lang w:eastAsia="zh-CN"/>
        </w:rPr>
        <w:t>日</w:t>
      </w:r>
      <w:r>
        <w:rPr>
          <w:rFonts w:hint="eastAsia" w:ascii="Times New Roman" w:hAnsi="Times New Roman" w:eastAsia="仿宋" w:cs="Times New Roman"/>
          <w:color w:val="auto"/>
          <w:kern w:val="0"/>
          <w:szCs w:val="28"/>
        </w:rPr>
        <w:t>，</w:t>
      </w:r>
      <w:r>
        <w:rPr>
          <w:rFonts w:hint="eastAsia" w:eastAsia="仿宋" w:cs="Times New Roman"/>
          <w:color w:val="auto"/>
          <w:kern w:val="0"/>
          <w:szCs w:val="28"/>
          <w:lang w:val="en-US" w:eastAsia="zh-CN"/>
        </w:rPr>
        <w:t>福建省福州延安中学</w:t>
      </w:r>
      <w:r>
        <w:rPr>
          <w:rFonts w:hint="eastAsia" w:ascii="Times New Roman" w:hAnsi="Times New Roman" w:eastAsia="仿宋" w:cs="Times New Roman"/>
          <w:color w:val="auto"/>
          <w:kern w:val="0"/>
          <w:szCs w:val="28"/>
        </w:rPr>
        <w:t>取得</w:t>
      </w:r>
      <w:r>
        <w:rPr>
          <w:rFonts w:hint="eastAsia" w:eastAsia="仿宋" w:cs="Times New Roman"/>
          <w:color w:val="auto"/>
          <w:kern w:val="0"/>
          <w:szCs w:val="28"/>
          <w:lang w:val="en-US" w:eastAsia="zh-CN"/>
        </w:rPr>
        <w:t>福州市水利局</w:t>
      </w:r>
      <w:r>
        <w:rPr>
          <w:rFonts w:hint="eastAsia" w:ascii="Times New Roman" w:hAnsi="Times New Roman" w:eastAsia="仿宋" w:cs="Times New Roman"/>
          <w:color w:val="auto"/>
          <w:kern w:val="0"/>
          <w:szCs w:val="28"/>
        </w:rPr>
        <w:t>《</w:t>
      </w:r>
      <w:r>
        <w:rPr>
          <w:rFonts w:hint="eastAsia" w:eastAsia="仿宋" w:cs="Times New Roman"/>
          <w:color w:val="auto"/>
          <w:kern w:val="0"/>
          <w:szCs w:val="28"/>
          <w:lang w:eastAsia="zh-CN"/>
        </w:rPr>
        <w:t>关于福州市延安中学教育集团国福校区水土保持方案的批复</w:t>
      </w:r>
      <w:r>
        <w:rPr>
          <w:rFonts w:hint="eastAsia" w:ascii="Times New Roman" w:hAnsi="Times New Roman" w:eastAsia="仿宋" w:cs="Times New Roman"/>
          <w:color w:val="auto"/>
          <w:kern w:val="0"/>
          <w:szCs w:val="28"/>
        </w:rPr>
        <w:t>》（</w:t>
      </w:r>
      <w:r>
        <w:rPr>
          <w:rFonts w:hint="eastAsia" w:eastAsia="仿宋" w:cs="Times New Roman"/>
          <w:color w:val="auto"/>
          <w:kern w:val="0"/>
          <w:szCs w:val="28"/>
          <w:lang w:val="en-US" w:eastAsia="zh-CN"/>
        </w:rPr>
        <w:t>榕水利批〔2023〕86号</w:t>
      </w:r>
      <w:r>
        <w:rPr>
          <w:rFonts w:hint="eastAsia" w:ascii="Times New Roman" w:hAnsi="Times New Roman" w:eastAsia="仿宋" w:cs="Times New Roman"/>
          <w:color w:val="auto"/>
          <w:kern w:val="0"/>
          <w:szCs w:val="28"/>
        </w:rPr>
        <w:t>）。</w:t>
      </w:r>
    </w:p>
    <w:p w14:paraId="5C9E1B7A">
      <w:pPr>
        <w:pStyle w:val="3"/>
        <w:widowControl/>
        <w:rPr>
          <w:rFonts w:eastAsia="仿宋"/>
          <w:color w:val="auto"/>
          <w:kern w:val="0"/>
          <w:szCs w:val="30"/>
        </w:rPr>
      </w:pPr>
      <w:bookmarkStart w:id="42" w:name="_Toc22565"/>
      <w:r>
        <w:rPr>
          <w:rFonts w:eastAsia="仿宋"/>
          <w:color w:val="auto"/>
          <w:kern w:val="0"/>
          <w:szCs w:val="30"/>
        </w:rPr>
        <w:t>2.3水土保持方案变更</w:t>
      </w:r>
      <w:bookmarkEnd w:id="42"/>
    </w:p>
    <w:p w14:paraId="543E1A40">
      <w:pPr>
        <w:adjustRightInd w:val="0"/>
        <w:snapToGrid w:val="0"/>
        <w:ind w:firstLine="560"/>
        <w:rPr>
          <w:rFonts w:eastAsia="仿宋"/>
          <w:bCs/>
          <w:color w:val="auto"/>
          <w:szCs w:val="28"/>
        </w:rPr>
      </w:pPr>
      <w:r>
        <w:rPr>
          <w:rFonts w:eastAsia="仿宋"/>
          <w:bCs/>
          <w:color w:val="auto"/>
          <w:szCs w:val="28"/>
        </w:rPr>
        <w:t>本项目各项水土保持措施与原水保方案</w:t>
      </w:r>
      <w:r>
        <w:rPr>
          <w:rFonts w:hint="eastAsia" w:eastAsia="仿宋"/>
          <w:bCs/>
          <w:color w:val="auto"/>
          <w:szCs w:val="28"/>
        </w:rPr>
        <w:t>设计的</w:t>
      </w:r>
      <w:r>
        <w:rPr>
          <w:rFonts w:eastAsia="仿宋"/>
          <w:bCs/>
          <w:color w:val="auto"/>
          <w:szCs w:val="28"/>
        </w:rPr>
        <w:t>基本一致，未</w:t>
      </w:r>
      <w:r>
        <w:rPr>
          <w:rFonts w:hint="eastAsia" w:eastAsia="仿宋"/>
          <w:bCs/>
          <w:color w:val="auto"/>
          <w:szCs w:val="28"/>
          <w:lang w:eastAsia="zh-CN"/>
        </w:rPr>
        <w:t>涉及</w:t>
      </w:r>
      <w:r>
        <w:rPr>
          <w:rFonts w:eastAsia="仿宋"/>
          <w:bCs/>
          <w:color w:val="auto"/>
          <w:szCs w:val="28"/>
        </w:rPr>
        <w:t>变更。</w:t>
      </w:r>
    </w:p>
    <w:p w14:paraId="0081A572">
      <w:pPr>
        <w:pStyle w:val="3"/>
        <w:widowControl/>
        <w:rPr>
          <w:rFonts w:eastAsia="仿宋"/>
          <w:color w:val="auto"/>
          <w:kern w:val="0"/>
          <w:szCs w:val="30"/>
        </w:rPr>
      </w:pPr>
      <w:bookmarkStart w:id="43" w:name="_Toc3722"/>
      <w:r>
        <w:rPr>
          <w:rFonts w:eastAsia="仿宋"/>
          <w:color w:val="auto"/>
          <w:kern w:val="0"/>
          <w:szCs w:val="30"/>
        </w:rPr>
        <w:t>2.4水土保持后续设计</w:t>
      </w:r>
      <w:bookmarkEnd w:id="43"/>
    </w:p>
    <w:p w14:paraId="3ABC98D2">
      <w:pPr>
        <w:adjustRightInd w:val="0"/>
        <w:snapToGrid w:val="0"/>
        <w:ind w:firstLine="560"/>
        <w:rPr>
          <w:rFonts w:eastAsia="仿宋"/>
          <w:bCs/>
          <w:color w:val="auto"/>
          <w:szCs w:val="28"/>
        </w:rPr>
        <w:sectPr>
          <w:headerReference r:id="rId15" w:type="default"/>
          <w:headerReference r:id="rId16"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bCs/>
          <w:color w:val="auto"/>
          <w:szCs w:val="28"/>
        </w:rPr>
        <w:t>本</w:t>
      </w:r>
      <w:r>
        <w:rPr>
          <w:rFonts w:hint="eastAsia" w:eastAsia="仿宋"/>
          <w:bCs/>
          <w:color w:val="auto"/>
          <w:szCs w:val="28"/>
        </w:rPr>
        <w:t>项目水土保持方案报告经</w:t>
      </w:r>
      <w:r>
        <w:rPr>
          <w:rFonts w:hint="eastAsia"/>
          <w:color w:val="auto"/>
          <w:lang w:val="en-US" w:eastAsia="zh-CN"/>
        </w:rPr>
        <w:t>福州市水利局</w:t>
      </w:r>
      <w:r>
        <w:rPr>
          <w:rFonts w:hint="eastAsia" w:eastAsia="仿宋"/>
          <w:bCs/>
          <w:color w:val="auto"/>
          <w:szCs w:val="28"/>
        </w:rPr>
        <w:t>批复之后，后续设计纳入主体工程的施工图一并设计。</w:t>
      </w:r>
    </w:p>
    <w:p w14:paraId="164A23CC">
      <w:pPr>
        <w:pStyle w:val="2"/>
        <w:widowControl/>
        <w:adjustRightInd w:val="0"/>
        <w:snapToGrid w:val="0"/>
        <w:spacing w:line="480" w:lineRule="auto"/>
        <w:ind w:firstLine="723"/>
        <w:rPr>
          <w:rFonts w:eastAsia="仿宋"/>
          <w:color w:val="auto"/>
          <w:szCs w:val="22"/>
        </w:rPr>
      </w:pPr>
      <w:bookmarkStart w:id="44" w:name="_Toc23351"/>
      <w:bookmarkStart w:id="45" w:name="_Toc8975"/>
      <w:bookmarkStart w:id="46" w:name="_Toc9572"/>
      <w:r>
        <w:rPr>
          <w:rFonts w:eastAsia="仿宋"/>
          <w:color w:val="auto"/>
          <w:szCs w:val="22"/>
        </w:rPr>
        <w:t>3  水土保持设施建设情况评估</w:t>
      </w:r>
      <w:bookmarkEnd w:id="44"/>
      <w:bookmarkEnd w:id="45"/>
      <w:bookmarkEnd w:id="46"/>
    </w:p>
    <w:p w14:paraId="730E524E">
      <w:pPr>
        <w:pStyle w:val="3"/>
        <w:widowControl/>
        <w:rPr>
          <w:rFonts w:eastAsia="仿宋"/>
          <w:color w:val="auto"/>
          <w:kern w:val="0"/>
          <w:szCs w:val="30"/>
        </w:rPr>
      </w:pPr>
      <w:bookmarkStart w:id="47" w:name="_Toc5714"/>
      <w:bookmarkStart w:id="48" w:name="_Toc14052"/>
      <w:bookmarkStart w:id="49" w:name="_Toc16779"/>
      <w:r>
        <w:rPr>
          <w:rFonts w:eastAsia="仿宋"/>
          <w:color w:val="auto"/>
          <w:kern w:val="0"/>
          <w:szCs w:val="30"/>
        </w:rPr>
        <w:t>3.1水土流失防治责任范围</w:t>
      </w:r>
      <w:bookmarkEnd w:id="47"/>
      <w:bookmarkEnd w:id="48"/>
      <w:bookmarkEnd w:id="49"/>
    </w:p>
    <w:p w14:paraId="6063E91F">
      <w:pPr>
        <w:ind w:firstLine="560"/>
        <w:rPr>
          <w:rFonts w:hint="default" w:ascii="Times New Roman" w:hAnsi="Times New Roman" w:eastAsia="仿宋" w:cs="Times New Roman"/>
        </w:rPr>
      </w:pPr>
      <w:bookmarkStart w:id="50" w:name="_Toc12495"/>
      <w:bookmarkStart w:id="51" w:name="_Toc2052"/>
      <w:r>
        <w:rPr>
          <w:rFonts w:eastAsia="仿宋"/>
          <w:color w:val="auto"/>
          <w:kern w:val="0"/>
          <w:szCs w:val="28"/>
        </w:rPr>
        <w:t>按照已批复的水土保持方案报告书</w:t>
      </w:r>
      <w:r>
        <w:rPr>
          <w:rFonts w:hint="eastAsia" w:eastAsia="仿宋"/>
          <w:color w:val="auto"/>
          <w:kern w:val="0"/>
          <w:szCs w:val="28"/>
          <w:lang w:eastAsia="zh-CN"/>
        </w:rPr>
        <w:t>，</w:t>
      </w:r>
      <w:r>
        <w:rPr>
          <w:rFonts w:hint="default" w:ascii="Times New Roman" w:hAnsi="Times New Roman" w:eastAsia="仿宋" w:cs="Times New Roman"/>
          <w:color w:val="auto"/>
          <w:kern w:val="0"/>
          <w:szCs w:val="28"/>
        </w:rPr>
        <w:t>本项目水土流失防治责任范围</w:t>
      </w:r>
      <w:r>
        <w:rPr>
          <w:rFonts w:hint="eastAsia" w:eastAsia="仿宋" w:cs="Times New Roman"/>
          <w:lang w:val="en-US" w:eastAsia="zh-CN"/>
        </w:rPr>
        <w:t>2.90h</w:t>
      </w:r>
      <w:r>
        <w:rPr>
          <w:rFonts w:hint="eastAsia"/>
          <w:color w:val="auto"/>
        </w:rPr>
        <w:t>m</w:t>
      </w:r>
      <w:r>
        <w:rPr>
          <w:rFonts w:hint="eastAsia"/>
          <w:color w:val="auto"/>
          <w:vertAlign w:val="superscript"/>
        </w:rPr>
        <w:t>2</w:t>
      </w:r>
      <w:r>
        <w:rPr>
          <w:rFonts w:hint="default" w:ascii="Times New Roman" w:hAnsi="Times New Roman" w:eastAsia="仿宋" w:cs="Times New Roman"/>
        </w:rPr>
        <w:t>，其中永久占地</w:t>
      </w:r>
      <w:r>
        <w:rPr>
          <w:rFonts w:hint="eastAsia" w:eastAsia="仿宋" w:cs="Times New Roman"/>
          <w:lang w:val="en-US" w:eastAsia="zh-CN"/>
        </w:rPr>
        <w:t>2.65h</w:t>
      </w:r>
      <w:r>
        <w:rPr>
          <w:rFonts w:hint="eastAsia"/>
          <w:color w:val="auto"/>
        </w:rPr>
        <w:t>m</w:t>
      </w:r>
      <w:r>
        <w:rPr>
          <w:rFonts w:hint="eastAsia"/>
          <w:color w:val="auto"/>
          <w:vertAlign w:val="superscript"/>
        </w:rPr>
        <w:t>2</w:t>
      </w:r>
      <w:r>
        <w:rPr>
          <w:rFonts w:hint="default" w:ascii="Times New Roman" w:hAnsi="Times New Roman" w:eastAsia="仿宋" w:cs="Times New Roman"/>
        </w:rPr>
        <w:t>，</w:t>
      </w:r>
      <w:r>
        <w:rPr>
          <w:rFonts w:hint="eastAsia"/>
          <w:color w:val="auto"/>
          <w:lang w:eastAsia="zh-CN"/>
        </w:rPr>
        <w:t>临时占地</w:t>
      </w:r>
      <w:r>
        <w:rPr>
          <w:rFonts w:hint="eastAsia"/>
          <w:color w:val="auto"/>
          <w:lang w:val="en-US" w:eastAsia="zh-CN"/>
        </w:rPr>
        <w:t>0.70h</w:t>
      </w:r>
      <w:r>
        <w:rPr>
          <w:rFonts w:hint="eastAsia"/>
          <w:color w:val="auto"/>
          <w:lang w:eastAsia="zh-CN"/>
        </w:rPr>
        <w:t>m</w:t>
      </w:r>
      <w:r>
        <w:rPr>
          <w:rFonts w:hint="eastAsia"/>
          <w:color w:val="auto"/>
          <w:vertAlign w:val="superscript"/>
          <w:lang w:eastAsia="zh-CN"/>
        </w:rPr>
        <w:t>2</w:t>
      </w:r>
      <w:r>
        <w:rPr>
          <w:rFonts w:hint="eastAsia"/>
          <w:color w:val="auto"/>
          <w:lang w:eastAsia="zh-CN"/>
        </w:rPr>
        <w:t>（其中</w:t>
      </w:r>
      <w:r>
        <w:rPr>
          <w:rFonts w:hint="eastAsia"/>
          <w:color w:val="auto"/>
          <w:lang w:val="en-US" w:eastAsia="zh-CN"/>
        </w:rPr>
        <w:t>0.45h</w:t>
      </w:r>
      <w:r>
        <w:rPr>
          <w:rFonts w:hint="eastAsia"/>
          <w:color w:val="auto"/>
          <w:lang w:eastAsia="zh-CN"/>
        </w:rPr>
        <w:t>m</w:t>
      </w:r>
      <w:r>
        <w:rPr>
          <w:rFonts w:hint="eastAsia"/>
          <w:color w:val="auto"/>
          <w:vertAlign w:val="superscript"/>
          <w:lang w:eastAsia="zh-CN"/>
        </w:rPr>
        <w:t>2</w:t>
      </w:r>
      <w:r>
        <w:rPr>
          <w:rFonts w:hint="eastAsia"/>
          <w:color w:val="auto"/>
          <w:lang w:eastAsia="zh-CN"/>
        </w:rPr>
        <w:t>临时占地布设于征地红线内，</w:t>
      </w:r>
      <w:r>
        <w:rPr>
          <w:rFonts w:hint="eastAsia"/>
          <w:color w:val="auto"/>
          <w:lang w:val="en-US" w:eastAsia="zh-CN"/>
        </w:rPr>
        <w:t>0.25h</w:t>
      </w:r>
      <w:r>
        <w:rPr>
          <w:rFonts w:hint="eastAsia"/>
          <w:color w:val="auto"/>
          <w:lang w:eastAsia="zh-CN"/>
        </w:rPr>
        <w:t>m</w:t>
      </w:r>
      <w:r>
        <w:rPr>
          <w:rFonts w:hint="eastAsia"/>
          <w:color w:val="auto"/>
          <w:vertAlign w:val="superscript"/>
          <w:lang w:eastAsia="zh-CN"/>
        </w:rPr>
        <w:t>2</w:t>
      </w:r>
      <w:r>
        <w:rPr>
          <w:rFonts w:hint="eastAsia"/>
          <w:color w:val="auto"/>
          <w:lang w:eastAsia="zh-CN"/>
        </w:rPr>
        <w:t>临时占地布设于征地红线外）</w:t>
      </w:r>
      <w:r>
        <w:rPr>
          <w:rFonts w:hint="default" w:ascii="Times New Roman" w:hAnsi="Times New Roman" w:eastAsia="仿宋" w:cs="Times New Roman"/>
        </w:rPr>
        <w:t>。</w:t>
      </w:r>
    </w:p>
    <w:p w14:paraId="672C0860">
      <w:pPr>
        <w:ind w:firstLine="560"/>
        <w:rPr>
          <w:rFonts w:ascii="Times New Roman" w:hAnsi="Times New Roman" w:eastAsia="仿宋" w:cs="Times New Roman"/>
          <w:color w:val="auto"/>
          <w:kern w:val="0"/>
          <w:szCs w:val="28"/>
        </w:rPr>
      </w:pPr>
      <w:r>
        <w:rPr>
          <w:rFonts w:ascii="Times New Roman" w:hAnsi="Times New Roman" w:eastAsia="仿宋" w:cs="Times New Roman"/>
          <w:color w:val="auto"/>
          <w:kern w:val="0"/>
          <w:szCs w:val="28"/>
        </w:rPr>
        <w:t>根据验收组查阅相关用地批复并现场实地核实，项目实际水土流失防治责任范围为</w:t>
      </w:r>
      <w:r>
        <w:rPr>
          <w:rFonts w:hint="eastAsia" w:eastAsia="仿宋" w:cs="Times New Roman"/>
          <w:color w:val="auto"/>
          <w:kern w:val="0"/>
          <w:szCs w:val="28"/>
          <w:lang w:val="en-US" w:eastAsia="zh-CN"/>
        </w:rPr>
        <w:t>2.90h</w:t>
      </w:r>
      <w:r>
        <w:rPr>
          <w:rFonts w:hint="eastAsia"/>
          <w:color w:val="auto"/>
        </w:rPr>
        <w:t>m</w:t>
      </w:r>
      <w:r>
        <w:rPr>
          <w:rFonts w:hint="eastAsia"/>
          <w:color w:val="auto"/>
          <w:vertAlign w:val="superscript"/>
        </w:rPr>
        <w:t>2</w:t>
      </w:r>
      <w:r>
        <w:rPr>
          <w:rFonts w:ascii="Times New Roman" w:hAnsi="Times New Roman" w:eastAsia="仿宋" w:cs="Times New Roman"/>
          <w:color w:val="auto"/>
          <w:kern w:val="0"/>
          <w:szCs w:val="28"/>
        </w:rPr>
        <w:t>，实际防治责任范围面积与方案批复防治责任范围面积相比无变化</w:t>
      </w:r>
      <w:r>
        <w:rPr>
          <w:rFonts w:hint="eastAsia" w:ascii="Times New Roman" w:hAnsi="Times New Roman" w:eastAsia="仿宋" w:cs="Times New Roman"/>
          <w:color w:val="auto"/>
          <w:kern w:val="0"/>
          <w:szCs w:val="28"/>
        </w:rPr>
        <w:t>。</w:t>
      </w:r>
    </w:p>
    <w:p w14:paraId="16ADCFA0">
      <w:pPr>
        <w:ind w:firstLine="560"/>
        <w:rPr>
          <w:rFonts w:ascii="Times New Roman" w:hAnsi="Times New Roman" w:eastAsia="仿宋" w:cs="Times New Roman"/>
          <w:color w:val="auto"/>
          <w:kern w:val="0"/>
          <w:szCs w:val="28"/>
        </w:rPr>
      </w:pPr>
      <w:r>
        <w:rPr>
          <w:rFonts w:ascii="Times New Roman" w:hAnsi="Times New Roman" w:eastAsia="仿宋" w:cs="Times New Roman"/>
          <w:color w:val="auto"/>
          <w:kern w:val="0"/>
          <w:szCs w:val="28"/>
        </w:rPr>
        <w:t>水土流失防治责任范围见下表3-1</w:t>
      </w:r>
      <w:r>
        <w:rPr>
          <w:rFonts w:hint="eastAsia" w:ascii="Times New Roman" w:hAnsi="Times New Roman" w:eastAsia="仿宋" w:cs="Times New Roman"/>
          <w:color w:val="auto"/>
          <w:kern w:val="0"/>
          <w:szCs w:val="28"/>
        </w:rPr>
        <w:t>。</w:t>
      </w:r>
    </w:p>
    <w:p w14:paraId="69C3873C">
      <w:pPr>
        <w:adjustRightInd w:val="0"/>
        <w:spacing w:line="240" w:lineRule="auto"/>
        <w:ind w:firstLine="480"/>
        <w:contextualSpacing/>
        <w:jc w:val="center"/>
        <w:rPr>
          <w:b/>
          <w:color w:val="auto"/>
          <w:sz w:val="24"/>
        </w:rPr>
      </w:pPr>
      <w:r>
        <w:rPr>
          <w:b/>
          <w:color w:val="auto"/>
          <w:sz w:val="24"/>
        </w:rPr>
        <w:t>表3-1 水土流失防治责任范围</w:t>
      </w:r>
    </w:p>
    <w:tbl>
      <w:tblPr>
        <w:tblStyle w:val="14"/>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161"/>
        <w:gridCol w:w="2549"/>
        <w:gridCol w:w="2581"/>
        <w:gridCol w:w="1651"/>
      </w:tblGrid>
      <w:tr w14:paraId="09ED0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08" w:type="pct"/>
            <w:vAlign w:val="center"/>
          </w:tcPr>
          <w:p w14:paraId="75476388">
            <w:pPr>
              <w:pStyle w:val="18"/>
              <w:rPr>
                <w:b/>
                <w:bCs/>
                <w:color w:val="auto"/>
                <w:sz w:val="21"/>
                <w:szCs w:val="21"/>
              </w:rPr>
            </w:pPr>
            <w:r>
              <w:rPr>
                <w:b/>
                <w:bCs/>
                <w:color w:val="auto"/>
                <w:sz w:val="21"/>
                <w:szCs w:val="21"/>
              </w:rPr>
              <w:t>项目</w:t>
            </w:r>
            <w:r>
              <w:rPr>
                <w:rFonts w:hint="eastAsia"/>
                <w:b/>
                <w:bCs/>
                <w:color w:val="auto"/>
                <w:sz w:val="21"/>
                <w:szCs w:val="21"/>
              </w:rPr>
              <w:t>分区</w:t>
            </w:r>
          </w:p>
        </w:tc>
        <w:tc>
          <w:tcPr>
            <w:tcW w:w="1425" w:type="pct"/>
            <w:vAlign w:val="center"/>
          </w:tcPr>
          <w:p w14:paraId="186BC144">
            <w:pPr>
              <w:pStyle w:val="18"/>
              <w:rPr>
                <w:b/>
                <w:bCs/>
                <w:color w:val="auto"/>
                <w:sz w:val="21"/>
                <w:szCs w:val="21"/>
              </w:rPr>
            </w:pPr>
            <w:r>
              <w:rPr>
                <w:rFonts w:hint="eastAsia"/>
                <w:b/>
                <w:bCs/>
                <w:color w:val="auto"/>
                <w:sz w:val="21"/>
                <w:szCs w:val="21"/>
              </w:rPr>
              <w:t>批复防治责任范围面积（</w:t>
            </w:r>
            <w:r>
              <w:rPr>
                <w:rFonts w:hint="eastAsia"/>
                <w:b/>
                <w:bCs/>
                <w:color w:val="auto"/>
                <w:sz w:val="21"/>
                <w:szCs w:val="21"/>
                <w:lang w:val="en-US" w:eastAsia="zh-CN"/>
              </w:rPr>
              <w:t>h</w:t>
            </w:r>
            <w:r>
              <w:rPr>
                <w:rFonts w:hint="eastAsia"/>
                <w:b/>
                <w:bCs/>
                <w:color w:val="auto"/>
                <w:sz w:val="21"/>
                <w:szCs w:val="21"/>
              </w:rPr>
              <w:t>m</w:t>
            </w:r>
            <w:r>
              <w:rPr>
                <w:rFonts w:hint="eastAsia"/>
                <w:b/>
                <w:bCs/>
                <w:color w:val="auto"/>
                <w:sz w:val="21"/>
                <w:szCs w:val="21"/>
                <w:vertAlign w:val="superscript"/>
              </w:rPr>
              <w:t>2</w:t>
            </w:r>
            <w:r>
              <w:rPr>
                <w:rFonts w:hint="eastAsia"/>
                <w:b/>
                <w:bCs/>
                <w:color w:val="auto"/>
                <w:sz w:val="21"/>
                <w:szCs w:val="21"/>
              </w:rPr>
              <w:t xml:space="preserve">） </w:t>
            </w:r>
          </w:p>
        </w:tc>
        <w:tc>
          <w:tcPr>
            <w:tcW w:w="1443" w:type="pct"/>
            <w:vAlign w:val="center"/>
          </w:tcPr>
          <w:p w14:paraId="000F4AB2">
            <w:pPr>
              <w:pStyle w:val="18"/>
              <w:rPr>
                <w:b/>
                <w:bCs/>
                <w:color w:val="auto"/>
                <w:sz w:val="21"/>
                <w:szCs w:val="21"/>
              </w:rPr>
            </w:pPr>
            <w:r>
              <w:rPr>
                <w:rFonts w:hint="eastAsia"/>
                <w:b/>
                <w:bCs/>
                <w:color w:val="auto"/>
                <w:sz w:val="21"/>
                <w:szCs w:val="21"/>
              </w:rPr>
              <w:t xml:space="preserve"> 实际防治责任范围面积（</w:t>
            </w:r>
            <w:r>
              <w:rPr>
                <w:rFonts w:hint="eastAsia"/>
                <w:b/>
                <w:bCs/>
                <w:color w:val="auto"/>
                <w:sz w:val="21"/>
                <w:szCs w:val="21"/>
                <w:lang w:val="en-US" w:eastAsia="zh-CN"/>
              </w:rPr>
              <w:t>h</w:t>
            </w:r>
            <w:r>
              <w:rPr>
                <w:rFonts w:hint="eastAsia"/>
                <w:b/>
                <w:bCs/>
                <w:color w:val="auto"/>
                <w:sz w:val="21"/>
                <w:szCs w:val="21"/>
              </w:rPr>
              <w:t>m</w:t>
            </w:r>
            <w:r>
              <w:rPr>
                <w:rFonts w:hint="eastAsia"/>
                <w:b/>
                <w:bCs/>
                <w:color w:val="auto"/>
                <w:sz w:val="21"/>
                <w:szCs w:val="21"/>
                <w:vertAlign w:val="superscript"/>
              </w:rPr>
              <w:t>2</w:t>
            </w:r>
            <w:r>
              <w:rPr>
                <w:rFonts w:hint="eastAsia"/>
                <w:b/>
                <w:bCs/>
                <w:color w:val="auto"/>
                <w:sz w:val="21"/>
                <w:szCs w:val="21"/>
              </w:rPr>
              <w:t xml:space="preserve">） </w:t>
            </w:r>
          </w:p>
        </w:tc>
        <w:tc>
          <w:tcPr>
            <w:tcW w:w="923" w:type="pct"/>
            <w:vAlign w:val="center"/>
          </w:tcPr>
          <w:p w14:paraId="3A2495E1">
            <w:pPr>
              <w:pStyle w:val="18"/>
              <w:rPr>
                <w:b/>
                <w:bCs/>
                <w:color w:val="auto"/>
                <w:sz w:val="21"/>
                <w:szCs w:val="21"/>
              </w:rPr>
            </w:pPr>
            <w:r>
              <w:rPr>
                <w:rFonts w:hint="eastAsia"/>
                <w:b/>
                <w:bCs/>
                <w:color w:val="auto"/>
                <w:sz w:val="21"/>
                <w:szCs w:val="21"/>
              </w:rPr>
              <w:t>实际与批</w:t>
            </w:r>
          </w:p>
          <w:p w14:paraId="6425D1C0">
            <w:pPr>
              <w:pStyle w:val="18"/>
              <w:rPr>
                <w:b/>
                <w:bCs/>
                <w:color w:val="auto"/>
                <w:sz w:val="21"/>
                <w:szCs w:val="21"/>
              </w:rPr>
            </w:pPr>
            <w:r>
              <w:rPr>
                <w:rFonts w:hint="eastAsia"/>
                <w:b/>
                <w:bCs/>
                <w:color w:val="auto"/>
                <w:sz w:val="21"/>
                <w:szCs w:val="21"/>
              </w:rPr>
              <w:t>复比较</w:t>
            </w:r>
          </w:p>
        </w:tc>
      </w:tr>
      <w:tr w14:paraId="02301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20DBCCA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sz w:val="24"/>
                <w:szCs w:val="24"/>
                <w:lang w:eastAsia="zh-CN"/>
              </w:rPr>
            </w:pPr>
            <w:r>
              <w:rPr>
                <w:rFonts w:hint="default" w:ascii="Times New Roman" w:hAnsi="Times New Roman" w:eastAsia="仿宋" w:cs="Times New Roman"/>
                <w:color w:val="auto"/>
                <w:kern w:val="0"/>
                <w:sz w:val="24"/>
                <w:szCs w:val="24"/>
              </w:rPr>
              <w:t>主体工程区</w:t>
            </w:r>
          </w:p>
        </w:tc>
        <w:tc>
          <w:tcPr>
            <w:tcW w:w="2549" w:type="dxa"/>
            <w:shd w:val="clear" w:color="auto" w:fill="auto"/>
            <w:vAlign w:val="center"/>
          </w:tcPr>
          <w:p w14:paraId="5F8677D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0"/>
                <w:sz w:val="24"/>
                <w:szCs w:val="24"/>
              </w:rPr>
              <w:t>2.65</w:t>
            </w:r>
          </w:p>
        </w:tc>
        <w:tc>
          <w:tcPr>
            <w:tcW w:w="2581" w:type="dxa"/>
            <w:shd w:val="clear" w:color="auto" w:fill="auto"/>
            <w:vAlign w:val="center"/>
          </w:tcPr>
          <w:p w14:paraId="5138CD0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 w:cs="Times New Roman"/>
                <w:color w:val="auto"/>
                <w:kern w:val="0"/>
                <w:sz w:val="24"/>
                <w:szCs w:val="24"/>
              </w:rPr>
              <w:t>2.65</w:t>
            </w:r>
          </w:p>
        </w:tc>
        <w:tc>
          <w:tcPr>
            <w:tcW w:w="923" w:type="pct"/>
            <w:shd w:val="clear" w:color="auto" w:fill="auto"/>
            <w:vAlign w:val="center"/>
          </w:tcPr>
          <w:p w14:paraId="23DD1611">
            <w:pPr>
              <w:pStyle w:val="18"/>
              <w:pageBreakBefore w:val="0"/>
              <w:kinsoku/>
              <w:wordWrap/>
              <w:overflowPunct/>
              <w:topLinePunct w:val="0"/>
              <w:autoSpaceDE/>
              <w:autoSpaceDN/>
              <w:bidi w:val="0"/>
              <w:adjustRightInd w:val="0"/>
              <w:snapToGrid w:val="0"/>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r w14:paraId="29438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6EDD4E1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sz w:val="24"/>
                <w:szCs w:val="24"/>
                <w:lang w:eastAsia="zh-CN"/>
              </w:rPr>
            </w:pPr>
            <w:r>
              <w:rPr>
                <w:rFonts w:hint="default" w:ascii="Times New Roman" w:hAnsi="Times New Roman" w:eastAsia="仿宋" w:cs="Times New Roman"/>
                <w:color w:val="auto"/>
                <w:kern w:val="0"/>
                <w:sz w:val="24"/>
                <w:szCs w:val="24"/>
              </w:rPr>
              <w:t>施工便道</w:t>
            </w:r>
          </w:p>
        </w:tc>
        <w:tc>
          <w:tcPr>
            <w:tcW w:w="2549" w:type="dxa"/>
            <w:shd w:val="clear" w:color="auto" w:fill="auto"/>
            <w:vAlign w:val="center"/>
          </w:tcPr>
          <w:p w14:paraId="74AAECA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0.35</w:t>
            </w: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+0.02</w:t>
            </w:r>
          </w:p>
        </w:tc>
        <w:tc>
          <w:tcPr>
            <w:tcW w:w="2581" w:type="dxa"/>
            <w:shd w:val="clear" w:color="auto" w:fill="auto"/>
            <w:vAlign w:val="center"/>
          </w:tcPr>
          <w:p w14:paraId="3B21C95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0.35</w:t>
            </w:r>
            <w:r>
              <w:rPr>
                <w:rFonts w:hint="eastAsia" w:eastAsia="仿宋" w:cs="Times New Roman"/>
                <w:color w:val="auto"/>
                <w:kern w:val="0"/>
                <w:sz w:val="24"/>
                <w:szCs w:val="24"/>
                <w:lang w:eastAsia="zh-CN"/>
              </w:rPr>
              <w:t>)</w:t>
            </w:r>
            <w:r>
              <w:rPr>
                <w:rFonts w:hint="eastAsia" w:ascii="Times New Roman" w:hAnsi="Times New Roman" w:eastAsia="仿宋" w:cs="Times New Roman"/>
                <w:color w:val="auto"/>
                <w:kern w:val="0"/>
                <w:sz w:val="24"/>
                <w:szCs w:val="24"/>
                <w:lang w:val="en-US" w:eastAsia="zh-CN"/>
              </w:rPr>
              <w:t>+0.02</w:t>
            </w:r>
          </w:p>
        </w:tc>
        <w:tc>
          <w:tcPr>
            <w:tcW w:w="923" w:type="pct"/>
            <w:shd w:val="clear" w:color="auto" w:fill="auto"/>
            <w:vAlign w:val="center"/>
          </w:tcPr>
          <w:p w14:paraId="27BAC044">
            <w:pPr>
              <w:pStyle w:val="18"/>
              <w:pageBreakBefore w:val="0"/>
              <w:kinsoku/>
              <w:wordWrap/>
              <w:overflowPunct/>
              <w:topLinePunct w:val="0"/>
              <w:autoSpaceDE/>
              <w:autoSpaceDN/>
              <w:bidi w:val="0"/>
              <w:adjustRightInd w:val="0"/>
              <w:snapToGrid w:val="0"/>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r w14:paraId="2FF823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26C1CE4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sz w:val="24"/>
                <w:szCs w:val="24"/>
                <w:lang w:eastAsia="zh-CN"/>
              </w:rPr>
            </w:pPr>
            <w:r>
              <w:rPr>
                <w:rFonts w:hint="default" w:ascii="Times New Roman" w:hAnsi="Times New Roman" w:eastAsia="仿宋" w:cs="Times New Roman"/>
                <w:color w:val="auto"/>
                <w:kern w:val="0"/>
                <w:sz w:val="24"/>
                <w:szCs w:val="24"/>
              </w:rPr>
              <w:t>施工生产生活区</w:t>
            </w:r>
          </w:p>
        </w:tc>
        <w:tc>
          <w:tcPr>
            <w:tcW w:w="2549" w:type="dxa"/>
            <w:shd w:val="clear" w:color="auto" w:fill="auto"/>
            <w:vAlign w:val="center"/>
          </w:tcPr>
          <w:p w14:paraId="66738B7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color w:val="auto"/>
                <w:kern w:val="0"/>
                <w:sz w:val="24"/>
                <w:szCs w:val="24"/>
                <w:lang w:val="en-US" w:eastAsia="zh-CN" w:bidi="ar-SA"/>
              </w:rPr>
            </w:pPr>
            <w:r>
              <w:rPr>
                <w:rFonts w:hint="default" w:ascii="Times New Roman" w:hAnsi="Times New Roman" w:eastAsia="仿宋" w:cs="Times New Roman"/>
                <w:color w:val="auto"/>
                <w:kern w:val="0"/>
                <w:sz w:val="24"/>
                <w:szCs w:val="24"/>
              </w:rPr>
              <w:t>0.23</w:t>
            </w:r>
          </w:p>
        </w:tc>
        <w:tc>
          <w:tcPr>
            <w:tcW w:w="2581" w:type="dxa"/>
            <w:shd w:val="clear" w:color="auto" w:fill="auto"/>
            <w:vAlign w:val="center"/>
          </w:tcPr>
          <w:p w14:paraId="1EDF06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 w:cs="Times New Roman"/>
                <w:color w:val="auto"/>
                <w:kern w:val="0"/>
                <w:sz w:val="24"/>
                <w:szCs w:val="24"/>
                <w:lang w:val="en-US" w:eastAsia="zh-CN" w:bidi="ar-SA"/>
              </w:rPr>
            </w:pPr>
            <w:r>
              <w:rPr>
                <w:rFonts w:hint="default" w:ascii="Times New Roman" w:hAnsi="Times New Roman" w:eastAsia="仿宋" w:cs="Times New Roman"/>
                <w:color w:val="auto"/>
                <w:kern w:val="0"/>
                <w:sz w:val="24"/>
                <w:szCs w:val="24"/>
              </w:rPr>
              <w:t>0.23</w:t>
            </w:r>
          </w:p>
        </w:tc>
        <w:tc>
          <w:tcPr>
            <w:tcW w:w="923" w:type="pct"/>
            <w:shd w:val="clear" w:color="auto" w:fill="auto"/>
            <w:vAlign w:val="center"/>
          </w:tcPr>
          <w:p w14:paraId="1C485F46">
            <w:pPr>
              <w:pStyle w:val="18"/>
              <w:pageBreakBefore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r w14:paraId="6B81E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161" w:type="dxa"/>
            <w:vAlign w:val="center"/>
          </w:tcPr>
          <w:p w14:paraId="1496357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Times New Roman"/>
                <w:sz w:val="24"/>
                <w:szCs w:val="24"/>
                <w:lang w:eastAsia="zh-CN"/>
              </w:rPr>
            </w:pPr>
            <w:r>
              <w:rPr>
                <w:rFonts w:hint="default" w:ascii="Times New Roman" w:hAnsi="Times New Roman" w:eastAsia="仿宋" w:cs="Times New Roman"/>
                <w:color w:val="auto"/>
                <w:kern w:val="0"/>
                <w:sz w:val="24"/>
                <w:szCs w:val="24"/>
              </w:rPr>
              <w:t>土方临时堆场</w:t>
            </w:r>
          </w:p>
        </w:tc>
        <w:tc>
          <w:tcPr>
            <w:tcW w:w="2549" w:type="dxa"/>
            <w:shd w:val="clear" w:color="auto" w:fill="auto"/>
            <w:vAlign w:val="center"/>
          </w:tcPr>
          <w:p w14:paraId="01C7FF4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仿宋"/>
                <w:sz w:val="24"/>
                <w:szCs w:val="24"/>
                <w:lang w:val="en-US" w:eastAsia="zh-CN"/>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0.10</w:t>
            </w:r>
            <w:r>
              <w:rPr>
                <w:rFonts w:hint="eastAsia" w:eastAsia="仿宋" w:cs="Times New Roman"/>
                <w:color w:val="auto"/>
                <w:kern w:val="0"/>
                <w:sz w:val="24"/>
                <w:szCs w:val="24"/>
                <w:lang w:eastAsia="zh-CN"/>
              </w:rPr>
              <w:t>)</w:t>
            </w:r>
          </w:p>
        </w:tc>
        <w:tc>
          <w:tcPr>
            <w:tcW w:w="2581" w:type="dxa"/>
            <w:shd w:val="clear" w:color="auto" w:fill="auto"/>
            <w:vAlign w:val="center"/>
          </w:tcPr>
          <w:p w14:paraId="1324522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仿宋"/>
                <w:sz w:val="24"/>
                <w:szCs w:val="24"/>
                <w:lang w:val="en-US" w:eastAsia="zh-CN"/>
              </w:rPr>
            </w:pPr>
            <w:r>
              <w:rPr>
                <w:rFonts w:hint="eastAsia"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rPr>
              <w:t>0.10</w:t>
            </w:r>
            <w:r>
              <w:rPr>
                <w:rFonts w:hint="eastAsia" w:eastAsia="仿宋" w:cs="Times New Roman"/>
                <w:color w:val="auto"/>
                <w:kern w:val="0"/>
                <w:sz w:val="24"/>
                <w:szCs w:val="24"/>
                <w:lang w:eastAsia="zh-CN"/>
              </w:rPr>
              <w:t>)</w:t>
            </w:r>
          </w:p>
        </w:tc>
        <w:tc>
          <w:tcPr>
            <w:tcW w:w="923" w:type="pct"/>
            <w:shd w:val="clear" w:color="auto" w:fill="auto"/>
            <w:vAlign w:val="center"/>
          </w:tcPr>
          <w:p w14:paraId="744AAE01">
            <w:pPr>
              <w:pStyle w:val="18"/>
              <w:pageBreakBefore w:val="0"/>
              <w:kinsoku/>
              <w:wordWrap/>
              <w:overflowPunct/>
              <w:topLinePunct w:val="0"/>
              <w:autoSpaceDE/>
              <w:autoSpaceDN/>
              <w:bidi w:val="0"/>
              <w:adjustRightInd w:val="0"/>
              <w:snapToGrid w:val="0"/>
              <w:ind w:firstLine="0" w:firstLineChars="0"/>
              <w:jc w:val="center"/>
              <w:textAlignment w:val="auto"/>
              <w:rPr>
                <w:rFonts w:hint="eastAsia"/>
                <w:color w:val="auto"/>
                <w:sz w:val="24"/>
                <w:szCs w:val="24"/>
              </w:rPr>
            </w:pPr>
          </w:p>
        </w:tc>
      </w:tr>
      <w:tr w14:paraId="4C7EC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0" w:type="auto"/>
            <w:vAlign w:val="center"/>
          </w:tcPr>
          <w:p w14:paraId="0D069BE8">
            <w:pPr>
              <w:pStyle w:val="27"/>
              <w:widowControl/>
              <w:spacing w:line="240" w:lineRule="auto"/>
              <w:ind w:firstLine="0" w:firstLineChars="0"/>
              <w:jc w:val="center"/>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合计</w:t>
            </w:r>
          </w:p>
        </w:tc>
        <w:tc>
          <w:tcPr>
            <w:tcW w:w="2549" w:type="dxa"/>
            <w:shd w:val="clear" w:color="auto" w:fill="auto"/>
            <w:vAlign w:val="center"/>
          </w:tcPr>
          <w:p w14:paraId="1AE6B4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 w:cs="Times New Roman"/>
                <w:color w:val="auto"/>
                <w:kern w:val="0"/>
                <w:sz w:val="24"/>
                <w:szCs w:val="24"/>
              </w:rPr>
              <w:t>2.90</w:t>
            </w:r>
          </w:p>
        </w:tc>
        <w:tc>
          <w:tcPr>
            <w:tcW w:w="2581" w:type="dxa"/>
            <w:shd w:val="clear" w:color="auto" w:fill="auto"/>
            <w:vAlign w:val="center"/>
          </w:tcPr>
          <w:p w14:paraId="5DD6A07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 w:cs="Times New Roman"/>
                <w:color w:val="auto"/>
                <w:kern w:val="0"/>
                <w:sz w:val="24"/>
                <w:szCs w:val="24"/>
              </w:rPr>
              <w:t>2.90</w:t>
            </w:r>
          </w:p>
        </w:tc>
        <w:tc>
          <w:tcPr>
            <w:tcW w:w="0" w:type="auto"/>
            <w:shd w:val="clear" w:color="auto" w:fill="auto"/>
            <w:vAlign w:val="center"/>
          </w:tcPr>
          <w:p w14:paraId="42A8CA9E">
            <w:pPr>
              <w:pStyle w:val="18"/>
              <w:pageBreakBefore w:val="0"/>
              <w:kinsoku/>
              <w:wordWrap/>
              <w:overflowPunct/>
              <w:topLinePunct w:val="0"/>
              <w:autoSpaceDE/>
              <w:autoSpaceDN/>
              <w:bidi w:val="0"/>
              <w:adjustRightInd w:val="0"/>
              <w:snapToGrid w:val="0"/>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rPr>
              <w:t>无变化</w:t>
            </w:r>
          </w:p>
        </w:tc>
      </w:tr>
    </w:tbl>
    <w:p w14:paraId="0DFC9D83">
      <w:pPr>
        <w:pStyle w:val="20"/>
        <w:jc w:val="both"/>
        <w:rPr>
          <w:rFonts w:hint="default" w:eastAsia="仿宋_GB2312"/>
          <w:color w:val="auto"/>
          <w:sz w:val="20"/>
          <w:szCs w:val="18"/>
          <w:vertAlign w:val="baseline"/>
          <w:lang w:val="en-US" w:eastAsia="zh-CN"/>
        </w:rPr>
      </w:pPr>
      <w:r>
        <w:rPr>
          <w:rFonts w:hint="eastAsia"/>
          <w:color w:val="auto"/>
          <w:sz w:val="20"/>
          <w:szCs w:val="18"/>
          <w:vertAlign w:val="baseline"/>
          <w:lang w:val="en-US" w:eastAsia="zh-CN"/>
        </w:rPr>
        <w:t>注：（）表示位于用地红线内不重复计算面积。</w:t>
      </w:r>
    </w:p>
    <w:p w14:paraId="5DC83762">
      <w:pPr>
        <w:pStyle w:val="3"/>
        <w:widowControl/>
        <w:spacing w:beforeLines="50"/>
        <w:rPr>
          <w:rFonts w:eastAsia="仿宋"/>
          <w:color w:val="auto"/>
          <w:kern w:val="0"/>
          <w:szCs w:val="30"/>
        </w:rPr>
      </w:pPr>
      <w:bookmarkStart w:id="52" w:name="_Toc25160"/>
      <w:r>
        <w:rPr>
          <w:rFonts w:eastAsia="仿宋"/>
          <w:color w:val="auto"/>
          <w:kern w:val="0"/>
          <w:szCs w:val="30"/>
        </w:rPr>
        <w:t>3.2</w:t>
      </w:r>
      <w:bookmarkEnd w:id="50"/>
      <w:bookmarkEnd w:id="51"/>
      <w:r>
        <w:rPr>
          <w:rFonts w:eastAsia="仿宋"/>
          <w:color w:val="auto"/>
          <w:kern w:val="0"/>
          <w:szCs w:val="30"/>
        </w:rPr>
        <w:t>弃渣场设置</w:t>
      </w:r>
      <w:bookmarkEnd w:id="52"/>
    </w:p>
    <w:p w14:paraId="3CA0FA99">
      <w:pPr>
        <w:adjustRightInd w:val="0"/>
        <w:snapToGrid w:val="0"/>
        <w:ind w:firstLine="560"/>
        <w:rPr>
          <w:rFonts w:eastAsia="仿宋"/>
          <w:bCs/>
          <w:color w:val="auto"/>
          <w:szCs w:val="28"/>
        </w:rPr>
      </w:pPr>
      <w:bookmarkStart w:id="53" w:name="_Toc1576"/>
      <w:bookmarkStart w:id="54" w:name="_Toc17150"/>
      <w:r>
        <w:rPr>
          <w:rFonts w:hint="eastAsia"/>
          <w:snapToGrid w:val="0"/>
          <w:color w:val="auto"/>
          <w:kern w:val="0"/>
          <w:szCs w:val="28"/>
        </w:rPr>
        <w:t>经现场核查，项目实际与批复一致，未设置弃渣场。</w:t>
      </w:r>
    </w:p>
    <w:p w14:paraId="6D156235">
      <w:pPr>
        <w:pStyle w:val="3"/>
        <w:widowControl/>
        <w:rPr>
          <w:rFonts w:eastAsia="仿宋"/>
          <w:color w:val="auto"/>
          <w:kern w:val="0"/>
          <w:szCs w:val="30"/>
        </w:rPr>
      </w:pPr>
      <w:bookmarkStart w:id="55" w:name="_Toc9367"/>
      <w:r>
        <w:rPr>
          <w:rFonts w:eastAsia="仿宋"/>
          <w:color w:val="auto"/>
          <w:kern w:val="0"/>
          <w:szCs w:val="30"/>
        </w:rPr>
        <w:t>3.3</w:t>
      </w:r>
      <w:bookmarkEnd w:id="53"/>
      <w:bookmarkEnd w:id="54"/>
      <w:r>
        <w:rPr>
          <w:rFonts w:eastAsia="仿宋"/>
          <w:color w:val="auto"/>
          <w:kern w:val="0"/>
          <w:szCs w:val="30"/>
        </w:rPr>
        <w:t>取土场设置</w:t>
      </w:r>
      <w:bookmarkEnd w:id="55"/>
    </w:p>
    <w:p w14:paraId="185765B5">
      <w:pPr>
        <w:adjustRightInd w:val="0"/>
        <w:snapToGrid w:val="0"/>
        <w:ind w:firstLine="560"/>
        <w:rPr>
          <w:rFonts w:eastAsia="仿宋"/>
          <w:bCs/>
          <w:color w:val="auto"/>
          <w:szCs w:val="28"/>
        </w:rPr>
      </w:pPr>
      <w:bookmarkStart w:id="56" w:name="_Toc16127"/>
      <w:bookmarkStart w:id="57" w:name="_Toc2382"/>
      <w:r>
        <w:rPr>
          <w:rFonts w:eastAsia="仿宋"/>
          <w:bCs/>
          <w:color w:val="auto"/>
          <w:szCs w:val="28"/>
        </w:rPr>
        <w:t>经现场核查，项目实际与批复一致，未设置弃</w:t>
      </w:r>
      <w:r>
        <w:rPr>
          <w:rFonts w:hint="eastAsia" w:eastAsia="仿宋"/>
          <w:bCs/>
          <w:color w:val="auto"/>
          <w:szCs w:val="28"/>
        </w:rPr>
        <w:t>取土</w:t>
      </w:r>
      <w:r>
        <w:rPr>
          <w:rFonts w:eastAsia="仿宋"/>
          <w:bCs/>
          <w:color w:val="auto"/>
          <w:szCs w:val="28"/>
        </w:rPr>
        <w:t>场。</w:t>
      </w:r>
    </w:p>
    <w:p w14:paraId="76CD1B64">
      <w:pPr>
        <w:pStyle w:val="3"/>
        <w:widowControl/>
        <w:rPr>
          <w:rFonts w:eastAsia="仿宋"/>
          <w:color w:val="auto"/>
          <w:kern w:val="0"/>
          <w:szCs w:val="30"/>
        </w:rPr>
      </w:pPr>
      <w:bookmarkStart w:id="58" w:name="_Toc25795"/>
      <w:r>
        <w:rPr>
          <w:rFonts w:eastAsia="仿宋"/>
          <w:color w:val="auto"/>
          <w:kern w:val="0"/>
          <w:szCs w:val="30"/>
        </w:rPr>
        <w:t>3.4</w:t>
      </w:r>
      <w:bookmarkEnd w:id="56"/>
      <w:bookmarkEnd w:id="57"/>
      <w:r>
        <w:rPr>
          <w:rFonts w:eastAsia="仿宋"/>
          <w:color w:val="auto"/>
          <w:kern w:val="0"/>
          <w:szCs w:val="30"/>
        </w:rPr>
        <w:t>水土保持措施总体布局</w:t>
      </w:r>
      <w:bookmarkEnd w:id="58"/>
    </w:p>
    <w:p w14:paraId="62D25044">
      <w:pPr>
        <w:pStyle w:val="4"/>
        <w:widowControl/>
        <w:rPr>
          <w:rFonts w:eastAsia="仿宋"/>
          <w:color w:val="auto"/>
          <w:kern w:val="0"/>
        </w:rPr>
      </w:pPr>
      <w:r>
        <w:rPr>
          <w:rFonts w:eastAsia="仿宋"/>
          <w:color w:val="auto"/>
          <w:kern w:val="0"/>
        </w:rPr>
        <w:t>3.4.1主体工程区</w:t>
      </w:r>
    </w:p>
    <w:p w14:paraId="2C3DA05C">
      <w:pPr>
        <w:adjustRightInd w:val="0"/>
        <w:snapToGrid w:val="0"/>
        <w:ind w:firstLine="560"/>
        <w:rPr>
          <w:rFonts w:hint="eastAsia" w:eastAsia="仿宋"/>
          <w:bCs/>
          <w:color w:val="auto"/>
          <w:szCs w:val="28"/>
          <w:lang w:eastAsia="zh-CN"/>
        </w:rPr>
      </w:pPr>
      <w:r>
        <w:rPr>
          <w:rFonts w:eastAsia="仿宋"/>
          <w:bCs/>
          <w:color w:val="auto"/>
          <w:szCs w:val="28"/>
        </w:rPr>
        <w:t>水保方案措施布局：根据已批复的水保方案，主体工程区的工程措施：</w:t>
      </w:r>
      <w:r>
        <w:rPr>
          <w:rFonts w:hint="eastAsia" w:eastAsia="仿宋"/>
          <w:bCs/>
          <w:color w:val="auto"/>
          <w:szCs w:val="28"/>
        </w:rPr>
        <w:t>全面整地</w:t>
      </w:r>
      <w:r>
        <w:rPr>
          <w:rFonts w:hint="eastAsia" w:eastAsia="仿宋"/>
          <w:bCs/>
          <w:color w:val="auto"/>
          <w:szCs w:val="28"/>
          <w:lang w:eastAsia="zh-CN"/>
        </w:rPr>
        <w:t>、</w:t>
      </w:r>
      <w:r>
        <w:rPr>
          <w:rFonts w:hint="eastAsia" w:eastAsia="仿宋"/>
          <w:bCs/>
          <w:color w:val="auto"/>
          <w:szCs w:val="28"/>
        </w:rPr>
        <w:t>覆土</w:t>
      </w:r>
      <w:r>
        <w:rPr>
          <w:rFonts w:hint="eastAsia" w:eastAsia="仿宋"/>
          <w:bCs/>
          <w:color w:val="auto"/>
          <w:szCs w:val="28"/>
          <w:lang w:eastAsia="zh-CN"/>
        </w:rPr>
        <w:t>、</w:t>
      </w:r>
      <w:r>
        <w:rPr>
          <w:rFonts w:hint="eastAsia" w:eastAsia="仿宋"/>
          <w:bCs/>
          <w:color w:val="auto"/>
          <w:szCs w:val="28"/>
        </w:rPr>
        <w:t>雨水管</w:t>
      </w:r>
      <w:r>
        <w:rPr>
          <w:rFonts w:hint="eastAsia" w:eastAsia="仿宋"/>
          <w:bCs/>
          <w:color w:val="auto"/>
          <w:szCs w:val="28"/>
          <w:lang w:eastAsia="zh-CN"/>
        </w:rPr>
        <w:t>、</w:t>
      </w:r>
      <w:r>
        <w:rPr>
          <w:rFonts w:hint="eastAsia" w:eastAsia="仿宋"/>
          <w:bCs/>
          <w:color w:val="auto"/>
          <w:szCs w:val="28"/>
        </w:rPr>
        <w:t>铺植草砖</w:t>
      </w:r>
      <w:r>
        <w:rPr>
          <w:rFonts w:hint="eastAsia" w:eastAsia="仿宋"/>
          <w:bCs/>
          <w:color w:val="auto"/>
          <w:szCs w:val="28"/>
          <w:lang w:eastAsia="zh-CN"/>
        </w:rPr>
        <w:t>、</w:t>
      </w:r>
      <w:r>
        <w:rPr>
          <w:rFonts w:hint="eastAsia" w:eastAsia="仿宋"/>
          <w:bCs/>
          <w:color w:val="auto"/>
          <w:szCs w:val="28"/>
        </w:rPr>
        <w:t>排水沟</w:t>
      </w:r>
      <w:r>
        <w:rPr>
          <w:rFonts w:hint="eastAsia" w:eastAsia="仿宋"/>
          <w:bCs/>
          <w:color w:val="auto"/>
          <w:szCs w:val="28"/>
          <w:lang w:eastAsia="zh-CN"/>
        </w:rPr>
        <w:t>；</w:t>
      </w:r>
      <w:r>
        <w:rPr>
          <w:rFonts w:hint="eastAsia" w:eastAsia="仿宋"/>
          <w:bCs/>
          <w:color w:val="auto"/>
          <w:szCs w:val="28"/>
        </w:rPr>
        <w:t>植物措施：景观绿化</w:t>
      </w:r>
      <w:r>
        <w:rPr>
          <w:rFonts w:hint="eastAsia" w:eastAsia="仿宋"/>
          <w:bCs/>
          <w:color w:val="auto"/>
          <w:szCs w:val="28"/>
          <w:lang w:eastAsia="zh-CN"/>
        </w:rPr>
        <w:t>；</w:t>
      </w:r>
      <w:r>
        <w:rPr>
          <w:rFonts w:hint="eastAsia" w:eastAsia="仿宋"/>
          <w:bCs/>
          <w:color w:val="auto"/>
          <w:szCs w:val="28"/>
        </w:rPr>
        <w:t>临时措施：排水沟</w:t>
      </w:r>
      <w:r>
        <w:rPr>
          <w:rFonts w:hint="eastAsia" w:eastAsia="仿宋"/>
          <w:bCs/>
          <w:color w:val="auto"/>
          <w:szCs w:val="28"/>
          <w:lang w:eastAsia="zh-CN"/>
        </w:rPr>
        <w:t>、</w:t>
      </w:r>
      <w:r>
        <w:rPr>
          <w:rFonts w:hint="eastAsia" w:eastAsia="仿宋"/>
          <w:bCs/>
          <w:color w:val="auto"/>
          <w:szCs w:val="28"/>
        </w:rPr>
        <w:t>沉沙池</w:t>
      </w:r>
      <w:r>
        <w:rPr>
          <w:rFonts w:hint="eastAsia" w:eastAsia="仿宋"/>
          <w:bCs/>
          <w:color w:val="auto"/>
          <w:szCs w:val="28"/>
          <w:lang w:eastAsia="zh-CN"/>
        </w:rPr>
        <w:t>、</w:t>
      </w:r>
      <w:r>
        <w:rPr>
          <w:rFonts w:hint="eastAsia" w:eastAsia="仿宋"/>
          <w:bCs/>
          <w:color w:val="auto"/>
          <w:szCs w:val="28"/>
        </w:rPr>
        <w:t>基坑截水沟</w:t>
      </w:r>
      <w:r>
        <w:rPr>
          <w:rFonts w:hint="eastAsia" w:eastAsia="仿宋"/>
          <w:bCs/>
          <w:color w:val="auto"/>
          <w:szCs w:val="28"/>
          <w:lang w:eastAsia="zh-CN"/>
        </w:rPr>
        <w:t>、</w:t>
      </w:r>
      <w:r>
        <w:rPr>
          <w:rFonts w:hint="eastAsia" w:eastAsia="仿宋"/>
          <w:bCs/>
          <w:color w:val="auto"/>
          <w:szCs w:val="28"/>
        </w:rPr>
        <w:t>基坑集水沟</w:t>
      </w:r>
      <w:r>
        <w:rPr>
          <w:rFonts w:hint="eastAsia" w:eastAsia="仿宋"/>
          <w:bCs/>
          <w:color w:val="auto"/>
          <w:szCs w:val="28"/>
          <w:lang w:eastAsia="zh-CN"/>
        </w:rPr>
        <w:t>、</w:t>
      </w:r>
      <w:r>
        <w:rPr>
          <w:rFonts w:hint="eastAsia" w:eastAsia="仿宋"/>
          <w:bCs/>
          <w:color w:val="auto"/>
          <w:szCs w:val="28"/>
        </w:rPr>
        <w:t>集水井</w:t>
      </w:r>
      <w:r>
        <w:rPr>
          <w:rFonts w:hint="eastAsia" w:eastAsia="仿宋"/>
          <w:bCs/>
          <w:color w:val="auto"/>
          <w:szCs w:val="28"/>
          <w:lang w:eastAsia="zh-CN"/>
        </w:rPr>
        <w:t>、</w:t>
      </w:r>
      <w:r>
        <w:rPr>
          <w:rFonts w:hint="eastAsia" w:eastAsia="仿宋"/>
          <w:bCs/>
          <w:color w:val="auto"/>
          <w:szCs w:val="28"/>
        </w:rPr>
        <w:t>泥浆沉淀池</w:t>
      </w:r>
      <w:r>
        <w:rPr>
          <w:rFonts w:hint="eastAsia" w:eastAsia="仿宋"/>
          <w:bCs/>
          <w:color w:val="auto"/>
          <w:szCs w:val="28"/>
          <w:lang w:eastAsia="zh-CN"/>
        </w:rPr>
        <w:t>、</w:t>
      </w:r>
      <w:r>
        <w:rPr>
          <w:rFonts w:hint="eastAsia" w:eastAsia="仿宋"/>
          <w:bCs/>
          <w:color w:val="auto"/>
          <w:szCs w:val="28"/>
        </w:rPr>
        <w:t>苫盖密目网</w:t>
      </w:r>
      <w:r>
        <w:rPr>
          <w:rFonts w:hint="eastAsia" w:eastAsia="仿宋"/>
          <w:bCs/>
          <w:color w:val="auto"/>
          <w:szCs w:val="28"/>
          <w:lang w:eastAsia="zh-CN"/>
        </w:rPr>
        <w:t>、</w:t>
      </w:r>
      <w:r>
        <w:rPr>
          <w:rFonts w:hint="eastAsia" w:eastAsia="仿宋"/>
          <w:bCs/>
          <w:color w:val="auto"/>
          <w:szCs w:val="28"/>
        </w:rPr>
        <w:t>洗车池</w:t>
      </w:r>
      <w:r>
        <w:rPr>
          <w:rFonts w:hint="eastAsia" w:eastAsia="仿宋"/>
          <w:bCs/>
          <w:color w:val="auto"/>
          <w:szCs w:val="28"/>
          <w:lang w:eastAsia="zh-CN"/>
        </w:rPr>
        <w:t>。</w:t>
      </w:r>
    </w:p>
    <w:p w14:paraId="27FAB1BA">
      <w:pPr>
        <w:adjustRightInd w:val="0"/>
        <w:snapToGrid w:val="0"/>
        <w:ind w:firstLine="560"/>
        <w:rPr>
          <w:rFonts w:eastAsia="仿宋"/>
          <w:bCs/>
          <w:color w:val="auto"/>
          <w:szCs w:val="28"/>
        </w:rPr>
      </w:pPr>
      <w:r>
        <w:rPr>
          <w:rFonts w:eastAsia="仿宋"/>
          <w:bCs/>
          <w:color w:val="auto"/>
          <w:szCs w:val="28"/>
        </w:rPr>
        <w:t>实际措施布局：</w:t>
      </w:r>
      <w:r>
        <w:rPr>
          <w:rFonts w:hint="eastAsia" w:eastAsia="仿宋"/>
          <w:bCs/>
          <w:color w:val="auto"/>
          <w:szCs w:val="28"/>
          <w:lang w:eastAsia="zh-CN"/>
        </w:rPr>
        <w:t>根据</w:t>
      </w:r>
      <w:r>
        <w:rPr>
          <w:rFonts w:eastAsia="仿宋"/>
          <w:bCs/>
          <w:color w:val="auto"/>
          <w:szCs w:val="28"/>
        </w:rPr>
        <w:t>现场核查，</w:t>
      </w:r>
      <w:r>
        <w:rPr>
          <w:rFonts w:hint="eastAsia" w:eastAsia="仿宋"/>
          <w:bCs/>
          <w:color w:val="auto"/>
          <w:szCs w:val="28"/>
        </w:rPr>
        <w:t>施工</w:t>
      </w:r>
      <w:r>
        <w:rPr>
          <w:rFonts w:eastAsia="仿宋"/>
          <w:bCs/>
          <w:color w:val="auto"/>
          <w:szCs w:val="28"/>
        </w:rPr>
        <w:t>单位</w:t>
      </w:r>
      <w:r>
        <w:rPr>
          <w:rFonts w:hint="eastAsia" w:eastAsia="仿宋"/>
          <w:bCs/>
          <w:color w:val="auto"/>
          <w:szCs w:val="28"/>
          <w:lang w:val="en-US" w:eastAsia="zh-CN"/>
        </w:rPr>
        <w:t>在</w:t>
      </w:r>
      <w:r>
        <w:rPr>
          <w:rFonts w:hint="eastAsia" w:eastAsia="仿宋"/>
          <w:bCs/>
          <w:color w:val="auto"/>
          <w:szCs w:val="28"/>
        </w:rPr>
        <w:t>土地整治后进行回填覆土</w:t>
      </w:r>
      <w:r>
        <w:rPr>
          <w:rFonts w:hint="eastAsia" w:eastAsia="仿宋"/>
          <w:bCs/>
          <w:color w:val="auto"/>
          <w:szCs w:val="28"/>
          <w:lang w:eastAsia="zh-CN"/>
        </w:rPr>
        <w:t>、</w:t>
      </w:r>
      <w:r>
        <w:rPr>
          <w:rFonts w:hint="eastAsia" w:eastAsia="仿宋"/>
          <w:bCs/>
          <w:color w:val="auto"/>
          <w:szCs w:val="28"/>
        </w:rPr>
        <w:t>雨水管布设和</w:t>
      </w:r>
      <w:r>
        <w:rPr>
          <w:rFonts w:eastAsia="仿宋"/>
          <w:bCs/>
          <w:color w:val="auto"/>
          <w:szCs w:val="28"/>
        </w:rPr>
        <w:t>景观绿化</w:t>
      </w:r>
      <w:r>
        <w:rPr>
          <w:rFonts w:hint="eastAsia" w:eastAsia="仿宋"/>
          <w:bCs/>
          <w:color w:val="auto"/>
          <w:szCs w:val="28"/>
        </w:rPr>
        <w:t>，</w:t>
      </w:r>
      <w:r>
        <w:rPr>
          <w:rFonts w:eastAsia="仿宋"/>
          <w:bCs/>
          <w:color w:val="auto"/>
          <w:szCs w:val="28"/>
        </w:rPr>
        <w:t>在施工过程中布设有</w:t>
      </w:r>
      <w:r>
        <w:rPr>
          <w:rFonts w:hint="eastAsia" w:eastAsia="仿宋"/>
          <w:bCs/>
          <w:color w:val="auto"/>
          <w:szCs w:val="28"/>
        </w:rPr>
        <w:t>基坑截水沟</w:t>
      </w:r>
      <w:r>
        <w:rPr>
          <w:rFonts w:hint="eastAsia" w:eastAsia="仿宋"/>
          <w:bCs/>
          <w:color w:val="auto"/>
          <w:szCs w:val="28"/>
          <w:lang w:eastAsia="zh-CN"/>
        </w:rPr>
        <w:t>、</w:t>
      </w:r>
      <w:r>
        <w:rPr>
          <w:rFonts w:hint="eastAsia" w:eastAsia="仿宋"/>
          <w:bCs/>
          <w:color w:val="auto"/>
          <w:szCs w:val="28"/>
        </w:rPr>
        <w:t>基坑</w:t>
      </w:r>
      <w:r>
        <w:rPr>
          <w:rFonts w:hint="eastAsia" w:eastAsia="仿宋"/>
          <w:bCs/>
          <w:color w:val="auto"/>
          <w:szCs w:val="28"/>
          <w:lang w:val="en-US" w:eastAsia="zh-CN"/>
        </w:rPr>
        <w:t>集</w:t>
      </w:r>
      <w:r>
        <w:rPr>
          <w:rFonts w:hint="eastAsia" w:eastAsia="仿宋"/>
          <w:bCs/>
          <w:color w:val="auto"/>
          <w:szCs w:val="28"/>
        </w:rPr>
        <w:t>水沟</w:t>
      </w:r>
      <w:r>
        <w:rPr>
          <w:rFonts w:hint="eastAsia" w:eastAsia="仿宋"/>
          <w:bCs/>
          <w:color w:val="auto"/>
          <w:szCs w:val="28"/>
          <w:lang w:eastAsia="zh-CN"/>
        </w:rPr>
        <w:t>、</w:t>
      </w:r>
      <w:r>
        <w:rPr>
          <w:rFonts w:hint="eastAsia" w:eastAsia="仿宋"/>
          <w:bCs/>
          <w:color w:val="auto"/>
          <w:szCs w:val="28"/>
        </w:rPr>
        <w:t>沉沙池</w:t>
      </w:r>
      <w:r>
        <w:rPr>
          <w:rFonts w:hint="eastAsia" w:eastAsia="仿宋"/>
          <w:bCs/>
          <w:color w:val="auto"/>
          <w:szCs w:val="28"/>
          <w:lang w:eastAsia="zh-CN"/>
        </w:rPr>
        <w:t>、</w:t>
      </w:r>
      <w:r>
        <w:rPr>
          <w:rFonts w:hint="eastAsia" w:eastAsia="仿宋"/>
          <w:bCs/>
          <w:color w:val="auto"/>
          <w:szCs w:val="28"/>
          <w:lang w:val="en-US" w:eastAsia="zh-CN"/>
        </w:rPr>
        <w:t>排水沟、</w:t>
      </w:r>
      <w:r>
        <w:rPr>
          <w:rFonts w:hint="eastAsia" w:eastAsia="仿宋"/>
          <w:bCs/>
          <w:color w:val="auto"/>
          <w:szCs w:val="28"/>
        </w:rPr>
        <w:t>集水井</w:t>
      </w:r>
      <w:r>
        <w:rPr>
          <w:rFonts w:hint="eastAsia" w:eastAsia="仿宋"/>
          <w:bCs/>
          <w:color w:val="auto"/>
          <w:szCs w:val="28"/>
          <w:lang w:val="en-US" w:eastAsia="zh-CN"/>
        </w:rPr>
        <w:t>等</w:t>
      </w:r>
      <w:r>
        <w:rPr>
          <w:rFonts w:eastAsia="仿宋"/>
          <w:bCs/>
          <w:color w:val="auto"/>
          <w:szCs w:val="28"/>
        </w:rPr>
        <w:t>。</w:t>
      </w:r>
      <w:r>
        <w:rPr>
          <w:rFonts w:hint="eastAsia" w:eastAsia="仿宋"/>
          <w:bCs/>
          <w:color w:val="auto"/>
          <w:szCs w:val="28"/>
        </w:rPr>
        <w:t>目前场</w:t>
      </w:r>
      <w:r>
        <w:rPr>
          <w:rFonts w:eastAsia="仿宋"/>
          <w:bCs/>
          <w:color w:val="auto"/>
          <w:szCs w:val="28"/>
        </w:rPr>
        <w:t>内植被长势良好，水土流失轻微。</w:t>
      </w:r>
    </w:p>
    <w:p w14:paraId="4E0DFE99">
      <w:pPr>
        <w:pStyle w:val="4"/>
        <w:widowControl/>
        <w:rPr>
          <w:rFonts w:hint="eastAsia" w:eastAsia="仿宋"/>
          <w:color w:val="auto"/>
          <w:kern w:val="0"/>
          <w:lang w:eastAsia="zh-CN"/>
        </w:rPr>
      </w:pPr>
      <w:r>
        <w:rPr>
          <w:rFonts w:eastAsia="仿宋"/>
          <w:color w:val="auto"/>
          <w:kern w:val="0"/>
        </w:rPr>
        <w:t>3.4.</w:t>
      </w:r>
      <w:r>
        <w:rPr>
          <w:rFonts w:hint="eastAsia" w:eastAsia="仿宋"/>
          <w:color w:val="auto"/>
          <w:kern w:val="0"/>
        </w:rPr>
        <w:t>2</w:t>
      </w:r>
      <w:r>
        <w:rPr>
          <w:rFonts w:hint="eastAsia" w:eastAsia="仿宋"/>
          <w:color w:val="auto"/>
          <w:kern w:val="0"/>
          <w:lang w:eastAsia="zh-CN"/>
        </w:rPr>
        <w:t>施工生产生活区</w:t>
      </w:r>
    </w:p>
    <w:p w14:paraId="357F99BE">
      <w:pPr>
        <w:adjustRightInd w:val="0"/>
        <w:snapToGrid w:val="0"/>
        <w:ind w:firstLine="560"/>
        <w:rPr>
          <w:rFonts w:eastAsia="仿宋"/>
          <w:bCs/>
          <w:color w:val="auto"/>
          <w:szCs w:val="28"/>
        </w:rPr>
      </w:pPr>
      <w:r>
        <w:rPr>
          <w:rFonts w:eastAsia="仿宋"/>
          <w:bCs/>
          <w:color w:val="auto"/>
          <w:szCs w:val="28"/>
        </w:rPr>
        <w:t>水保方案措施布局：根据已批复的水保方案，</w:t>
      </w:r>
      <w:r>
        <w:rPr>
          <w:rFonts w:hint="eastAsia" w:eastAsia="仿宋"/>
          <w:bCs/>
          <w:color w:val="auto"/>
          <w:szCs w:val="28"/>
          <w:lang w:eastAsia="zh-CN"/>
        </w:rPr>
        <w:t>施工生产生活区</w:t>
      </w:r>
      <w:r>
        <w:rPr>
          <w:rFonts w:eastAsia="仿宋"/>
          <w:bCs/>
          <w:color w:val="auto"/>
          <w:szCs w:val="28"/>
        </w:rPr>
        <w:t>的</w:t>
      </w:r>
      <w:r>
        <w:rPr>
          <w:rFonts w:hint="eastAsia" w:eastAsia="仿宋"/>
          <w:bCs/>
          <w:color w:val="auto"/>
          <w:szCs w:val="28"/>
          <w:lang w:val="en-US" w:eastAsia="zh-CN"/>
        </w:rPr>
        <w:t>工程措施</w:t>
      </w:r>
      <w:r>
        <w:rPr>
          <w:rFonts w:hint="default" w:ascii="Times New Roman" w:hAnsi="Times New Roman" w:eastAsia="仿宋" w:cs="Times New Roman"/>
          <w:bCs/>
          <w:color w:val="auto"/>
          <w:szCs w:val="28"/>
          <w:lang w:val="en-US" w:eastAsia="zh-CN"/>
        </w:rPr>
        <w:t>全面整地</w:t>
      </w:r>
      <w:r>
        <w:rPr>
          <w:rFonts w:hint="eastAsia" w:eastAsia="仿宋" w:cs="Times New Roman"/>
          <w:bCs/>
          <w:color w:val="auto"/>
          <w:szCs w:val="28"/>
          <w:lang w:val="en-US" w:eastAsia="zh-CN"/>
        </w:rPr>
        <w:t>、</w:t>
      </w:r>
      <w:r>
        <w:rPr>
          <w:rFonts w:hint="default" w:ascii="Times New Roman" w:hAnsi="Times New Roman" w:eastAsia="仿宋" w:cs="Times New Roman"/>
          <w:bCs/>
          <w:color w:val="auto"/>
          <w:szCs w:val="28"/>
          <w:lang w:val="en-US" w:eastAsia="zh-CN"/>
        </w:rPr>
        <w:t>覆土</w:t>
      </w:r>
      <w:r>
        <w:rPr>
          <w:rFonts w:hint="eastAsia" w:eastAsia="仿宋" w:cs="Times New Roman"/>
          <w:bCs/>
          <w:color w:val="auto"/>
          <w:szCs w:val="28"/>
          <w:lang w:val="en-US" w:eastAsia="zh-CN"/>
        </w:rPr>
        <w:t>。植物措施：临时绿化、撒播狗牙根草籽；</w:t>
      </w:r>
      <w:r>
        <w:rPr>
          <w:rFonts w:eastAsia="仿宋"/>
          <w:bCs/>
          <w:color w:val="auto"/>
          <w:szCs w:val="28"/>
        </w:rPr>
        <w:t>临时措施：</w:t>
      </w:r>
      <w:r>
        <w:rPr>
          <w:rFonts w:hint="eastAsia" w:eastAsia="仿宋"/>
          <w:bCs/>
          <w:color w:val="auto"/>
          <w:szCs w:val="28"/>
        </w:rPr>
        <w:t>排水沟</w:t>
      </w:r>
      <w:r>
        <w:rPr>
          <w:rFonts w:hint="eastAsia" w:eastAsia="仿宋"/>
          <w:bCs/>
          <w:color w:val="auto"/>
          <w:szCs w:val="28"/>
          <w:lang w:eastAsia="zh-CN"/>
        </w:rPr>
        <w:t>、</w:t>
      </w:r>
      <w:r>
        <w:rPr>
          <w:rFonts w:hint="eastAsia" w:eastAsia="仿宋"/>
          <w:bCs/>
          <w:color w:val="auto"/>
          <w:szCs w:val="28"/>
        </w:rPr>
        <w:t>沉沙池</w:t>
      </w:r>
      <w:r>
        <w:rPr>
          <w:rFonts w:eastAsia="仿宋"/>
          <w:bCs/>
          <w:color w:val="auto"/>
          <w:szCs w:val="28"/>
        </w:rPr>
        <w:t>。</w:t>
      </w:r>
    </w:p>
    <w:p w14:paraId="02E88EFF">
      <w:pPr>
        <w:adjustRightInd w:val="0"/>
        <w:snapToGrid w:val="0"/>
        <w:ind w:firstLine="560"/>
        <w:rPr>
          <w:rFonts w:hint="eastAsia" w:eastAsia="仿宋"/>
          <w:bCs/>
          <w:color w:val="auto"/>
          <w:szCs w:val="28"/>
        </w:rPr>
      </w:pPr>
      <w:r>
        <w:rPr>
          <w:rFonts w:eastAsia="仿宋"/>
          <w:bCs/>
          <w:color w:val="auto"/>
          <w:szCs w:val="28"/>
        </w:rPr>
        <w:t>实际措施布局：经现场核查，</w:t>
      </w:r>
      <w:r>
        <w:rPr>
          <w:rFonts w:hint="eastAsia" w:eastAsia="仿宋"/>
          <w:bCs/>
          <w:color w:val="auto"/>
          <w:szCs w:val="28"/>
        </w:rPr>
        <w:t>施工</w:t>
      </w:r>
      <w:r>
        <w:rPr>
          <w:rFonts w:eastAsia="仿宋"/>
          <w:bCs/>
          <w:color w:val="auto"/>
          <w:szCs w:val="28"/>
        </w:rPr>
        <w:t>单位已在</w:t>
      </w:r>
      <w:r>
        <w:rPr>
          <w:rFonts w:hint="eastAsia" w:eastAsia="仿宋"/>
          <w:bCs/>
          <w:color w:val="auto"/>
          <w:szCs w:val="28"/>
          <w:lang w:eastAsia="zh-CN"/>
        </w:rPr>
        <w:t>施工生产生活区</w:t>
      </w:r>
      <w:r>
        <w:rPr>
          <w:rFonts w:eastAsia="仿宋"/>
          <w:bCs/>
          <w:color w:val="auto"/>
          <w:szCs w:val="28"/>
        </w:rPr>
        <w:t>周围设置了排水沟</w:t>
      </w:r>
      <w:r>
        <w:rPr>
          <w:rFonts w:hint="eastAsia" w:eastAsia="仿宋"/>
          <w:bCs/>
          <w:color w:val="auto"/>
          <w:szCs w:val="28"/>
          <w:lang w:val="en-US" w:eastAsia="zh-CN"/>
        </w:rPr>
        <w:t>、沉沙池和临时绿化</w:t>
      </w:r>
      <w:r>
        <w:rPr>
          <w:rFonts w:hint="eastAsia" w:eastAsia="仿宋"/>
          <w:bCs/>
          <w:color w:val="auto"/>
          <w:szCs w:val="28"/>
          <w:lang w:eastAsia="zh-CN"/>
        </w:rPr>
        <w:t>。</w:t>
      </w:r>
      <w:r>
        <w:rPr>
          <w:rFonts w:hint="eastAsia" w:eastAsia="仿宋"/>
          <w:bCs/>
          <w:color w:val="auto"/>
          <w:szCs w:val="28"/>
        </w:rPr>
        <w:t>目前</w:t>
      </w:r>
      <w:r>
        <w:rPr>
          <w:rFonts w:hint="eastAsia" w:eastAsia="仿宋"/>
          <w:color w:val="auto"/>
          <w:kern w:val="0"/>
          <w:szCs w:val="28"/>
          <w:lang w:eastAsia="zh-CN"/>
        </w:rPr>
        <w:t>施工生产生活区</w:t>
      </w:r>
      <w:r>
        <w:rPr>
          <w:rFonts w:hint="eastAsia" w:eastAsia="仿宋"/>
          <w:bCs/>
          <w:color w:val="auto"/>
          <w:szCs w:val="28"/>
        </w:rPr>
        <w:t>现已拆除，归还原嘉达纺织厂地北侧规划路道路工程建设单位建设使用。</w:t>
      </w:r>
    </w:p>
    <w:p w14:paraId="2044D1C6">
      <w:pPr>
        <w:pStyle w:val="4"/>
        <w:widowControl/>
        <w:rPr>
          <w:rFonts w:eastAsia="仿宋"/>
          <w:color w:val="auto"/>
          <w:kern w:val="0"/>
        </w:rPr>
      </w:pPr>
      <w:r>
        <w:rPr>
          <w:rFonts w:eastAsia="仿宋"/>
          <w:color w:val="auto"/>
          <w:kern w:val="0"/>
        </w:rPr>
        <w:t>3.4.</w:t>
      </w:r>
      <w:r>
        <w:rPr>
          <w:rFonts w:hint="eastAsia"/>
          <w:b/>
          <w:color w:val="auto"/>
          <w:szCs w:val="28"/>
          <w:lang w:val="en-US" w:eastAsia="zh-CN"/>
        </w:rPr>
        <w:t>3</w:t>
      </w:r>
      <w:r>
        <w:rPr>
          <w:rFonts w:hint="eastAsia"/>
          <w:b/>
          <w:color w:val="auto"/>
          <w:szCs w:val="28"/>
          <w:lang w:eastAsia="zh-CN"/>
        </w:rPr>
        <w:t>土方临时堆场</w:t>
      </w:r>
    </w:p>
    <w:p w14:paraId="34F4F449">
      <w:pPr>
        <w:adjustRightInd w:val="0"/>
        <w:snapToGrid w:val="0"/>
        <w:ind w:firstLine="560"/>
        <w:rPr>
          <w:rFonts w:eastAsia="仿宋"/>
          <w:bCs/>
          <w:color w:val="auto"/>
          <w:szCs w:val="28"/>
        </w:rPr>
      </w:pPr>
      <w:r>
        <w:rPr>
          <w:rFonts w:eastAsia="仿宋"/>
          <w:bCs/>
          <w:color w:val="auto"/>
          <w:szCs w:val="28"/>
        </w:rPr>
        <w:t>水保方案措施布局：根据已批复的水保方案，</w:t>
      </w:r>
      <w:r>
        <w:rPr>
          <w:rFonts w:hint="eastAsia" w:eastAsia="仿宋"/>
          <w:color w:val="auto"/>
          <w:kern w:val="0"/>
          <w:szCs w:val="28"/>
          <w:lang w:eastAsia="zh-CN"/>
        </w:rPr>
        <w:t>土方临时堆场</w:t>
      </w:r>
      <w:r>
        <w:rPr>
          <w:rFonts w:hint="eastAsia" w:eastAsia="仿宋"/>
          <w:color w:val="auto"/>
          <w:kern w:val="0"/>
          <w:szCs w:val="28"/>
          <w:lang w:val="en-US" w:eastAsia="zh-CN"/>
        </w:rPr>
        <w:t>的</w:t>
      </w:r>
      <w:r>
        <w:rPr>
          <w:rFonts w:eastAsia="仿宋"/>
          <w:bCs/>
          <w:color w:val="auto"/>
          <w:szCs w:val="28"/>
        </w:rPr>
        <w:t>临时措施：</w:t>
      </w:r>
      <w:r>
        <w:rPr>
          <w:rFonts w:hint="eastAsia" w:eastAsia="仿宋"/>
          <w:bCs/>
          <w:color w:val="auto"/>
          <w:szCs w:val="28"/>
        </w:rPr>
        <w:t>密目网苫盖</w:t>
      </w:r>
      <w:r>
        <w:rPr>
          <w:rFonts w:eastAsia="仿宋"/>
          <w:bCs/>
          <w:color w:val="auto"/>
          <w:szCs w:val="28"/>
        </w:rPr>
        <w:t>。</w:t>
      </w:r>
    </w:p>
    <w:p w14:paraId="5FB56790">
      <w:pPr>
        <w:adjustRightInd w:val="0"/>
        <w:snapToGrid w:val="0"/>
        <w:ind w:firstLine="560"/>
        <w:rPr>
          <w:rFonts w:hint="eastAsia" w:eastAsia="仿宋"/>
          <w:bCs/>
          <w:color w:val="auto"/>
          <w:szCs w:val="28"/>
        </w:rPr>
      </w:pPr>
      <w:r>
        <w:rPr>
          <w:rFonts w:eastAsia="仿宋"/>
          <w:bCs/>
          <w:color w:val="auto"/>
          <w:szCs w:val="28"/>
        </w:rPr>
        <w:t>实际措施布局：经现场核查，</w:t>
      </w:r>
      <w:r>
        <w:rPr>
          <w:rFonts w:hint="eastAsia" w:eastAsia="仿宋"/>
          <w:bCs/>
          <w:color w:val="auto"/>
          <w:szCs w:val="28"/>
        </w:rPr>
        <w:t>施工</w:t>
      </w:r>
      <w:r>
        <w:rPr>
          <w:rFonts w:eastAsia="仿宋"/>
          <w:bCs/>
          <w:color w:val="auto"/>
          <w:szCs w:val="28"/>
        </w:rPr>
        <w:t>单位在</w:t>
      </w:r>
      <w:r>
        <w:rPr>
          <w:rFonts w:hint="eastAsia" w:eastAsia="仿宋"/>
          <w:bCs/>
          <w:color w:val="auto"/>
          <w:szCs w:val="28"/>
          <w:lang w:val="en-US" w:eastAsia="zh-CN"/>
        </w:rPr>
        <w:t>土方堆放期间进行</w:t>
      </w:r>
      <w:r>
        <w:rPr>
          <w:rFonts w:hint="eastAsia" w:eastAsia="仿宋"/>
          <w:bCs/>
          <w:color w:val="auto"/>
          <w:szCs w:val="28"/>
        </w:rPr>
        <w:t>密目网苫盖。目前地块</w:t>
      </w:r>
      <w:r>
        <w:rPr>
          <w:rFonts w:hint="eastAsia"/>
          <w:color w:val="auto"/>
          <w:kern w:val="0"/>
          <w:szCs w:val="28"/>
        </w:rPr>
        <w:t>红线</w:t>
      </w:r>
      <w:r>
        <w:rPr>
          <w:rFonts w:hint="eastAsia"/>
          <w:color w:val="auto"/>
          <w:kern w:val="0"/>
          <w:szCs w:val="28"/>
          <w:lang w:val="en-US" w:eastAsia="zh-CN"/>
        </w:rPr>
        <w:t>内的</w:t>
      </w:r>
      <w:r>
        <w:rPr>
          <w:rFonts w:hint="eastAsia" w:eastAsia="仿宋"/>
          <w:color w:val="auto"/>
          <w:kern w:val="0"/>
          <w:szCs w:val="28"/>
          <w:lang w:eastAsia="zh-CN"/>
        </w:rPr>
        <w:t>土方临时堆场</w:t>
      </w:r>
      <w:r>
        <w:rPr>
          <w:rFonts w:hint="eastAsia" w:eastAsia="仿宋"/>
          <w:bCs/>
          <w:color w:val="auto"/>
          <w:szCs w:val="28"/>
        </w:rPr>
        <w:t>现已拆除，</w:t>
      </w:r>
      <w:r>
        <w:rPr>
          <w:rFonts w:eastAsia="仿宋"/>
          <w:bCs/>
          <w:color w:val="auto"/>
          <w:szCs w:val="28"/>
        </w:rPr>
        <w:t>施工结束后，</w:t>
      </w:r>
      <w:r>
        <w:rPr>
          <w:rFonts w:hint="eastAsia" w:eastAsia="仿宋"/>
          <w:bCs/>
          <w:color w:val="auto"/>
          <w:szCs w:val="28"/>
        </w:rPr>
        <w:t>施工单位</w:t>
      </w:r>
      <w:r>
        <w:rPr>
          <w:rFonts w:hint="eastAsia" w:eastAsia="仿宋"/>
          <w:bCs/>
          <w:color w:val="auto"/>
          <w:szCs w:val="28"/>
          <w:lang w:val="en-US" w:eastAsia="zh-CN"/>
        </w:rPr>
        <w:t>已根据设计施工</w:t>
      </w:r>
      <w:r>
        <w:rPr>
          <w:rFonts w:hint="eastAsia" w:eastAsia="仿宋"/>
          <w:bCs/>
          <w:color w:val="auto"/>
          <w:szCs w:val="28"/>
        </w:rPr>
        <w:t>。</w:t>
      </w:r>
    </w:p>
    <w:p w14:paraId="6E4598FE">
      <w:pPr>
        <w:pStyle w:val="4"/>
        <w:widowControl/>
        <w:rPr>
          <w:rFonts w:eastAsia="仿宋"/>
          <w:color w:val="auto"/>
          <w:kern w:val="0"/>
        </w:rPr>
      </w:pPr>
      <w:r>
        <w:rPr>
          <w:rFonts w:eastAsia="仿宋"/>
          <w:color w:val="auto"/>
          <w:kern w:val="0"/>
        </w:rPr>
        <w:t>3.4.</w:t>
      </w:r>
      <w:r>
        <w:rPr>
          <w:rFonts w:hint="eastAsia" w:eastAsia="仿宋"/>
          <w:color w:val="auto"/>
          <w:kern w:val="0"/>
          <w:lang w:val="en-US" w:eastAsia="zh-CN"/>
        </w:rPr>
        <w:t>4施工便道</w:t>
      </w:r>
    </w:p>
    <w:p w14:paraId="0BFE2E1B">
      <w:pPr>
        <w:adjustRightInd w:val="0"/>
        <w:snapToGrid w:val="0"/>
        <w:ind w:firstLine="560"/>
        <w:rPr>
          <w:rFonts w:hint="eastAsia" w:eastAsia="仿宋"/>
          <w:bCs/>
          <w:color w:val="auto"/>
          <w:szCs w:val="28"/>
        </w:rPr>
      </w:pPr>
      <w:r>
        <w:rPr>
          <w:rFonts w:eastAsia="仿宋"/>
          <w:bCs/>
          <w:color w:val="auto"/>
          <w:szCs w:val="28"/>
        </w:rPr>
        <w:t>水保方案措施布局：根据已批复的水保方案，</w:t>
      </w:r>
      <w:r>
        <w:rPr>
          <w:rFonts w:hint="eastAsia" w:eastAsia="仿宋"/>
          <w:color w:val="auto"/>
          <w:kern w:val="0"/>
          <w:szCs w:val="28"/>
          <w:lang w:val="en-US" w:eastAsia="zh-CN"/>
        </w:rPr>
        <w:t>施工便道的工程措施全面整地、覆土。植物措施：撒播狗牙根草籽；临时措施：排水沟、沉沙池。</w:t>
      </w:r>
      <w:r>
        <w:rPr>
          <w:rFonts w:eastAsia="仿宋"/>
          <w:bCs/>
          <w:color w:val="auto"/>
          <w:szCs w:val="28"/>
        </w:rPr>
        <w:t>实际措施布局：经现场核查，</w:t>
      </w:r>
      <w:r>
        <w:rPr>
          <w:rFonts w:hint="eastAsia" w:eastAsia="仿宋"/>
          <w:bCs/>
          <w:color w:val="auto"/>
          <w:szCs w:val="28"/>
        </w:rPr>
        <w:t>施工</w:t>
      </w:r>
      <w:r>
        <w:rPr>
          <w:rFonts w:eastAsia="仿宋"/>
          <w:bCs/>
          <w:color w:val="auto"/>
          <w:szCs w:val="28"/>
        </w:rPr>
        <w:t>单位在</w:t>
      </w:r>
      <w:r>
        <w:rPr>
          <w:rFonts w:hint="eastAsia" w:eastAsia="仿宋"/>
          <w:bCs/>
          <w:color w:val="auto"/>
          <w:szCs w:val="28"/>
          <w:lang w:val="en-US" w:eastAsia="zh-CN"/>
        </w:rPr>
        <w:t>施工便道一旁设置了排水沟和沉沙池。目前红线外的施工便道现已拆除，进行土地整治，撒播狗牙根草籽绿化恢复</w:t>
      </w:r>
      <w:r>
        <w:rPr>
          <w:rFonts w:hint="eastAsia" w:eastAsia="仿宋"/>
          <w:bCs/>
          <w:color w:val="auto"/>
          <w:szCs w:val="28"/>
        </w:rPr>
        <w:t>。</w:t>
      </w:r>
    </w:p>
    <w:p w14:paraId="3F8CC16F">
      <w:pPr>
        <w:pStyle w:val="3"/>
        <w:widowControl/>
        <w:rPr>
          <w:rFonts w:eastAsia="仿宋"/>
          <w:color w:val="auto"/>
          <w:kern w:val="0"/>
          <w:szCs w:val="30"/>
        </w:rPr>
      </w:pPr>
      <w:bookmarkStart w:id="59" w:name="_Toc25062"/>
      <w:bookmarkStart w:id="60" w:name="_Toc16931929"/>
      <w:r>
        <w:rPr>
          <w:rFonts w:eastAsia="仿宋"/>
          <w:color w:val="auto"/>
          <w:kern w:val="0"/>
          <w:szCs w:val="30"/>
        </w:rPr>
        <w:t>3.5水土保持设施完成情况</w:t>
      </w:r>
      <w:bookmarkEnd w:id="59"/>
      <w:bookmarkEnd w:id="60"/>
    </w:p>
    <w:p w14:paraId="5E029C7C">
      <w:pPr>
        <w:pStyle w:val="4"/>
        <w:widowControl/>
        <w:rPr>
          <w:rFonts w:eastAsia="仿宋"/>
          <w:color w:val="auto"/>
          <w:kern w:val="0"/>
        </w:rPr>
      </w:pPr>
      <w:bookmarkStart w:id="61" w:name="_Toc6420"/>
      <w:r>
        <w:rPr>
          <w:rFonts w:eastAsia="仿宋"/>
          <w:color w:val="auto"/>
          <w:kern w:val="0"/>
        </w:rPr>
        <w:t>3.5.1工程措施完成情况</w:t>
      </w:r>
      <w:bookmarkEnd w:id="61"/>
    </w:p>
    <w:p w14:paraId="761960C1">
      <w:pPr>
        <w:pStyle w:val="5"/>
        <w:widowControl/>
        <w:rPr>
          <w:rFonts w:eastAsia="仿宋"/>
          <w:color w:val="auto"/>
          <w:kern w:val="0"/>
        </w:rPr>
      </w:pPr>
      <w:bookmarkStart w:id="62" w:name="_Toc10590"/>
      <w:r>
        <w:rPr>
          <w:rFonts w:eastAsia="仿宋"/>
          <w:color w:val="auto"/>
          <w:kern w:val="0"/>
        </w:rPr>
        <w:t>3.5.1.1主体工程防治区</w:t>
      </w:r>
    </w:p>
    <w:p w14:paraId="249BA101">
      <w:pPr>
        <w:snapToGrid w:val="0"/>
        <w:ind w:firstLine="560"/>
        <w:rPr>
          <w:bCs/>
          <w:color w:val="auto"/>
          <w:szCs w:val="28"/>
        </w:rPr>
      </w:pPr>
      <w:r>
        <w:rPr>
          <w:bCs/>
          <w:color w:val="auto"/>
          <w:szCs w:val="28"/>
        </w:rPr>
        <w:t>根据现场核查，施工单位已在场内铺设雨水管网，雨水管网总长为</w:t>
      </w:r>
      <w:r>
        <w:rPr>
          <w:rFonts w:hint="eastAsia"/>
          <w:lang w:val="en-US" w:eastAsia="zh-CN"/>
        </w:rPr>
        <w:t>852.70</w:t>
      </w:r>
      <w:r>
        <w:rPr>
          <w:bCs/>
          <w:color w:val="auto"/>
          <w:szCs w:val="28"/>
        </w:rPr>
        <w:t>m</w:t>
      </w:r>
      <w:r>
        <w:rPr>
          <w:rFonts w:hint="eastAsia"/>
          <w:bCs/>
          <w:color w:val="auto"/>
          <w:szCs w:val="28"/>
        </w:rPr>
        <w:t>，</w:t>
      </w:r>
      <w:r>
        <w:rPr>
          <w:bCs/>
          <w:color w:val="auto"/>
          <w:szCs w:val="28"/>
        </w:rPr>
        <w:t>与水土保持方案设计相比，雨水管网</w:t>
      </w:r>
      <w:r>
        <w:rPr>
          <w:rFonts w:hint="eastAsia"/>
          <w:bCs/>
          <w:color w:val="auto"/>
          <w:szCs w:val="28"/>
          <w:lang w:val="en-US" w:eastAsia="zh-CN"/>
        </w:rPr>
        <w:t>长度不变</w:t>
      </w:r>
      <w:r>
        <w:rPr>
          <w:bCs/>
          <w:color w:val="auto"/>
          <w:szCs w:val="28"/>
        </w:rPr>
        <w:t>；已对项目主体工程区绿化用地进行土地整治，土地整治面积</w:t>
      </w:r>
      <w:r>
        <w:rPr>
          <w:rFonts w:hint="eastAsia"/>
          <w:lang w:val="en-US" w:eastAsia="zh-CN"/>
        </w:rPr>
        <w:t>0.80</w:t>
      </w:r>
      <w:r>
        <w:rPr>
          <w:rFonts w:hint="eastAsia"/>
        </w:rPr>
        <w:t>h</w:t>
      </w:r>
      <w:r>
        <w:rPr>
          <w:bCs/>
          <w:color w:val="auto"/>
          <w:szCs w:val="28"/>
        </w:rPr>
        <w:t>m</w:t>
      </w:r>
      <w:r>
        <w:rPr>
          <w:bCs/>
          <w:color w:val="auto"/>
          <w:szCs w:val="28"/>
          <w:vertAlign w:val="superscript"/>
        </w:rPr>
        <w:t>2</w:t>
      </w:r>
      <w:r>
        <w:rPr>
          <w:bCs/>
          <w:color w:val="auto"/>
          <w:szCs w:val="28"/>
        </w:rPr>
        <w:t>，与水土保持方案设计相比，土地整治面积不变；对项目主体工程区绿化用地进行覆土</w:t>
      </w:r>
      <w:r>
        <w:rPr>
          <w:rFonts w:hint="eastAsia"/>
          <w:bCs/>
          <w:color w:val="auto"/>
          <w:szCs w:val="28"/>
          <w:lang w:val="en-US" w:eastAsia="zh-CN"/>
        </w:rPr>
        <w:t>回填0.32</w:t>
      </w:r>
      <w:r>
        <w:rPr>
          <w:bCs/>
          <w:color w:val="auto"/>
          <w:szCs w:val="28"/>
        </w:rPr>
        <w:t>万m</w:t>
      </w:r>
      <w:r>
        <w:rPr>
          <w:bCs/>
          <w:color w:val="auto"/>
          <w:szCs w:val="28"/>
          <w:vertAlign w:val="superscript"/>
        </w:rPr>
        <w:t>3</w:t>
      </w:r>
      <w:r>
        <w:rPr>
          <w:bCs/>
          <w:color w:val="auto"/>
          <w:szCs w:val="28"/>
        </w:rPr>
        <w:t>，覆土方量不变</w:t>
      </w:r>
      <w:r>
        <w:rPr>
          <w:rFonts w:hint="eastAsia"/>
          <w:bCs/>
          <w:color w:val="auto"/>
          <w:szCs w:val="28"/>
          <w:lang w:eastAsia="zh-CN"/>
        </w:rPr>
        <w:t>；</w:t>
      </w:r>
      <w:r>
        <w:rPr>
          <w:rFonts w:hint="eastAsia"/>
          <w:bCs/>
          <w:color w:val="auto"/>
          <w:szCs w:val="28"/>
          <w:lang w:val="en-US" w:eastAsia="zh-CN"/>
        </w:rPr>
        <w:t>对项目主体工程区地面机动车停车区域铺设植草砖117.60m</w:t>
      </w:r>
      <w:r>
        <w:rPr>
          <w:rFonts w:hint="eastAsia"/>
          <w:bCs/>
          <w:color w:val="auto"/>
          <w:szCs w:val="28"/>
          <w:vertAlign w:val="superscript"/>
          <w:lang w:val="en-US" w:eastAsia="zh-CN"/>
        </w:rPr>
        <w:t>2</w:t>
      </w:r>
      <w:r>
        <w:rPr>
          <w:rFonts w:hint="eastAsia"/>
          <w:bCs/>
          <w:color w:val="auto"/>
          <w:szCs w:val="28"/>
          <w:vertAlign w:val="baseline"/>
          <w:lang w:val="en-US" w:eastAsia="zh-CN"/>
        </w:rPr>
        <w:t>，</w:t>
      </w:r>
      <w:r>
        <w:rPr>
          <w:bCs/>
          <w:color w:val="auto"/>
          <w:szCs w:val="28"/>
        </w:rPr>
        <w:t>与水土保持方案设计相比，</w:t>
      </w:r>
      <w:r>
        <w:rPr>
          <w:rFonts w:hint="eastAsia"/>
          <w:bCs/>
          <w:color w:val="auto"/>
          <w:szCs w:val="28"/>
          <w:lang w:val="en-US" w:eastAsia="zh-CN"/>
        </w:rPr>
        <w:t>植草砖</w:t>
      </w:r>
      <w:r>
        <w:rPr>
          <w:bCs/>
          <w:color w:val="auto"/>
          <w:szCs w:val="28"/>
        </w:rPr>
        <w:t>面积不变</w:t>
      </w:r>
      <w:r>
        <w:rPr>
          <w:rFonts w:hint="eastAsia"/>
          <w:bCs/>
          <w:color w:val="auto"/>
          <w:szCs w:val="28"/>
          <w:lang w:eastAsia="zh-CN"/>
        </w:rPr>
        <w:t>；</w:t>
      </w:r>
      <w:r>
        <w:rPr>
          <w:rFonts w:hint="eastAsia"/>
          <w:bCs/>
          <w:color w:val="auto"/>
          <w:szCs w:val="28"/>
          <w:lang w:val="en-US" w:eastAsia="zh-CN"/>
        </w:rPr>
        <w:t>对项目主体工程区操场周围设有盖板排水沟319m</w:t>
      </w:r>
      <w:r>
        <w:rPr>
          <w:rFonts w:hint="eastAsia"/>
          <w:bCs/>
          <w:color w:val="auto"/>
          <w:szCs w:val="28"/>
          <w:vertAlign w:val="baseline"/>
          <w:lang w:val="en-US" w:eastAsia="zh-CN"/>
        </w:rPr>
        <w:t>，</w:t>
      </w:r>
      <w:r>
        <w:rPr>
          <w:bCs/>
          <w:color w:val="auto"/>
          <w:szCs w:val="28"/>
        </w:rPr>
        <w:t>与水土保持方案设计相比，</w:t>
      </w:r>
      <w:r>
        <w:rPr>
          <w:rFonts w:hint="eastAsia"/>
          <w:bCs/>
          <w:color w:val="auto"/>
          <w:szCs w:val="28"/>
          <w:lang w:val="en-US" w:eastAsia="zh-CN"/>
        </w:rPr>
        <w:t>排水沟长度</w:t>
      </w:r>
      <w:r>
        <w:rPr>
          <w:bCs/>
          <w:color w:val="auto"/>
          <w:szCs w:val="28"/>
        </w:rPr>
        <w:t>不变</w:t>
      </w:r>
      <w:r>
        <w:rPr>
          <w:rFonts w:hint="eastAsia"/>
          <w:bCs/>
          <w:color w:val="auto"/>
          <w:szCs w:val="28"/>
        </w:rPr>
        <w:t>。</w:t>
      </w:r>
    </w:p>
    <w:p w14:paraId="1F4235BC">
      <w:pPr>
        <w:pStyle w:val="20"/>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1</w:t>
      </w:r>
      <w:r>
        <w:rPr>
          <w:color w:val="auto"/>
        </w:rPr>
        <w:t xml:space="preserve"> 主体工程</w:t>
      </w:r>
      <w:r>
        <w:rPr>
          <w:rFonts w:hint="eastAsia"/>
          <w:color w:val="auto"/>
          <w:lang w:val="en-US" w:eastAsia="zh-CN"/>
        </w:rPr>
        <w:t>防治区</w:t>
      </w:r>
      <w:r>
        <w:rPr>
          <w:color w:val="auto"/>
        </w:rPr>
        <w:t>工程措施情况表</w:t>
      </w:r>
    </w:p>
    <w:tbl>
      <w:tblPr>
        <w:tblStyle w:val="14"/>
        <w:tblpPr w:leftFromText="180" w:rightFromText="180" w:vertAnchor="text" w:tblpXSpec="center" w:tblpY="1"/>
        <w:tblOverlap w:val="never"/>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8"/>
        <w:gridCol w:w="2152"/>
        <w:gridCol w:w="1085"/>
        <w:gridCol w:w="1270"/>
        <w:gridCol w:w="1472"/>
        <w:gridCol w:w="2110"/>
      </w:tblGrid>
      <w:tr w14:paraId="130877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382" w:type="pct"/>
            <w:tcBorders>
              <w:tl2br w:val="nil"/>
              <w:tr2bl w:val="nil"/>
            </w:tcBorders>
            <w:vAlign w:val="center"/>
          </w:tcPr>
          <w:p w14:paraId="6703CFFF">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序号</w:t>
            </w:r>
          </w:p>
        </w:tc>
        <w:tc>
          <w:tcPr>
            <w:tcW w:w="1228" w:type="pct"/>
            <w:tcBorders>
              <w:tl2br w:val="nil"/>
              <w:tr2bl w:val="nil"/>
            </w:tcBorders>
            <w:vAlign w:val="center"/>
          </w:tcPr>
          <w:p w14:paraId="3C2C83B6">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防护措施</w:t>
            </w:r>
          </w:p>
        </w:tc>
        <w:tc>
          <w:tcPr>
            <w:tcW w:w="619" w:type="pct"/>
            <w:tcBorders>
              <w:tl2br w:val="nil"/>
              <w:tr2bl w:val="nil"/>
            </w:tcBorders>
            <w:vAlign w:val="center"/>
          </w:tcPr>
          <w:p w14:paraId="3FC2BB90">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单位</w:t>
            </w:r>
          </w:p>
        </w:tc>
        <w:tc>
          <w:tcPr>
            <w:tcW w:w="725" w:type="pct"/>
            <w:tcBorders>
              <w:tl2br w:val="nil"/>
              <w:tr2bl w:val="nil"/>
            </w:tcBorders>
            <w:vAlign w:val="center"/>
          </w:tcPr>
          <w:p w14:paraId="180F7615">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方案设计工程量</w:t>
            </w:r>
          </w:p>
        </w:tc>
        <w:tc>
          <w:tcPr>
            <w:tcW w:w="840" w:type="pct"/>
            <w:tcBorders>
              <w:tl2br w:val="nil"/>
              <w:tr2bl w:val="nil"/>
            </w:tcBorders>
            <w:vAlign w:val="center"/>
          </w:tcPr>
          <w:p w14:paraId="29CF7EC6">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实际完成工程量</w:t>
            </w:r>
          </w:p>
        </w:tc>
        <w:tc>
          <w:tcPr>
            <w:tcW w:w="1204" w:type="pct"/>
            <w:tcBorders>
              <w:tl2br w:val="nil"/>
              <w:tr2bl w:val="nil"/>
            </w:tcBorders>
            <w:vAlign w:val="center"/>
          </w:tcPr>
          <w:p w14:paraId="47AC1BDF">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增减情况（+/-）</w:t>
            </w:r>
          </w:p>
        </w:tc>
      </w:tr>
      <w:tr w14:paraId="299EA9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382" w:type="pct"/>
            <w:tcBorders>
              <w:tl2br w:val="nil"/>
              <w:tr2bl w:val="nil"/>
            </w:tcBorders>
            <w:vAlign w:val="center"/>
          </w:tcPr>
          <w:p w14:paraId="73ED7709">
            <w:pPr>
              <w:pStyle w:val="18"/>
              <w:ind w:firstLine="0" w:firstLineChars="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228" w:type="pct"/>
            <w:tcBorders>
              <w:tl2br w:val="nil"/>
              <w:tr2bl w:val="nil"/>
            </w:tcBorders>
            <w:vAlign w:val="center"/>
          </w:tcPr>
          <w:p w14:paraId="730B384B">
            <w:pPr>
              <w:widowControl w:val="0"/>
              <w:adjustRightInd w:val="0"/>
              <w:snapToGrid w:val="0"/>
              <w:spacing w:line="240" w:lineRule="auto"/>
              <w:ind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cs="Times New Roman"/>
                <w:sz w:val="24"/>
                <w:szCs w:val="24"/>
              </w:rPr>
              <w:t>雨水管</w:t>
            </w:r>
          </w:p>
        </w:tc>
        <w:tc>
          <w:tcPr>
            <w:tcW w:w="619" w:type="pct"/>
            <w:tcBorders>
              <w:tl2br w:val="nil"/>
              <w:tr2bl w:val="nil"/>
            </w:tcBorders>
            <w:vAlign w:val="center"/>
          </w:tcPr>
          <w:p w14:paraId="462D33EA">
            <w:pPr>
              <w:widowControl w:val="0"/>
              <w:adjustRightInd w:val="0"/>
              <w:snapToGrid w:val="0"/>
              <w:spacing w:line="240" w:lineRule="auto"/>
              <w:ind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cs="Times New Roman"/>
                <w:sz w:val="24"/>
                <w:szCs w:val="24"/>
              </w:rPr>
              <w:t>m</w:t>
            </w:r>
          </w:p>
        </w:tc>
        <w:tc>
          <w:tcPr>
            <w:tcW w:w="725" w:type="pct"/>
            <w:tcBorders>
              <w:tl2br w:val="nil"/>
              <w:tr2bl w:val="nil"/>
            </w:tcBorders>
            <w:vAlign w:val="center"/>
          </w:tcPr>
          <w:p w14:paraId="6D17B90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852.70</w:t>
            </w:r>
          </w:p>
        </w:tc>
        <w:tc>
          <w:tcPr>
            <w:tcW w:w="840" w:type="pct"/>
            <w:tcBorders>
              <w:tl2br w:val="nil"/>
              <w:tr2bl w:val="nil"/>
            </w:tcBorders>
            <w:vAlign w:val="center"/>
          </w:tcPr>
          <w:p w14:paraId="0A3F630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852.70</w:t>
            </w:r>
          </w:p>
        </w:tc>
        <w:tc>
          <w:tcPr>
            <w:tcW w:w="1204" w:type="pct"/>
            <w:tcBorders>
              <w:tl2br w:val="nil"/>
              <w:tr2bl w:val="nil"/>
            </w:tcBorders>
            <w:vAlign w:val="center"/>
          </w:tcPr>
          <w:p w14:paraId="63E811C4">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Cs w:val="22"/>
                <w:lang w:val="en-US" w:eastAsia="zh-CN"/>
              </w:rPr>
              <w:t>0</w:t>
            </w:r>
          </w:p>
        </w:tc>
      </w:tr>
      <w:tr w14:paraId="12E711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2" w:type="pct"/>
            <w:tcBorders>
              <w:tl2br w:val="nil"/>
              <w:tr2bl w:val="nil"/>
            </w:tcBorders>
            <w:vAlign w:val="center"/>
          </w:tcPr>
          <w:p w14:paraId="1B3EB629">
            <w:pPr>
              <w:pStyle w:val="18"/>
              <w:ind w:firstLine="0" w:firstLineChars="0"/>
              <w:rPr>
                <w:rFonts w:hint="default" w:ascii="Times New Roman" w:hAnsi="Times New Roman" w:eastAsia="仿宋_GB2312" w:cs="Times New Roman"/>
                <w:color w:val="auto"/>
                <w:sz w:val="24"/>
                <w:szCs w:val="24"/>
                <w:lang w:val="en-US" w:eastAsia="zh-CN"/>
              </w:rPr>
            </w:pPr>
            <w:r>
              <w:rPr>
                <w:rFonts w:hint="eastAsia" w:ascii="Times New Roman" w:hAnsi="Times New Roman" w:cs="Times New Roman"/>
                <w:color w:val="auto"/>
                <w:sz w:val="24"/>
                <w:szCs w:val="24"/>
                <w:lang w:val="en-US" w:eastAsia="zh-CN"/>
              </w:rPr>
              <w:t>2</w:t>
            </w:r>
          </w:p>
        </w:tc>
        <w:tc>
          <w:tcPr>
            <w:tcW w:w="1228" w:type="pct"/>
            <w:tcBorders>
              <w:tl2br w:val="nil"/>
              <w:tr2bl w:val="nil"/>
            </w:tcBorders>
            <w:vAlign w:val="center"/>
          </w:tcPr>
          <w:p w14:paraId="1A12D24B">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土地整治</w:t>
            </w:r>
          </w:p>
        </w:tc>
        <w:tc>
          <w:tcPr>
            <w:tcW w:w="619" w:type="pct"/>
            <w:tcBorders>
              <w:tl2br w:val="nil"/>
              <w:tr2bl w:val="nil"/>
            </w:tcBorders>
            <w:vAlign w:val="center"/>
          </w:tcPr>
          <w:p w14:paraId="3DBA66E2">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m</w:t>
            </w:r>
            <w:r>
              <w:rPr>
                <w:rFonts w:hint="default" w:ascii="Times New Roman" w:hAnsi="Times New Roman" w:cs="Times New Roman"/>
                <w:sz w:val="24"/>
                <w:szCs w:val="24"/>
                <w:vertAlign w:val="superscript"/>
              </w:rPr>
              <w:t>2</w:t>
            </w:r>
          </w:p>
        </w:tc>
        <w:tc>
          <w:tcPr>
            <w:tcW w:w="725" w:type="pct"/>
            <w:tcBorders>
              <w:tl2br w:val="nil"/>
              <w:tr2bl w:val="nil"/>
            </w:tcBorders>
            <w:vAlign w:val="center"/>
          </w:tcPr>
          <w:p w14:paraId="3958D1E7">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0.80</w:t>
            </w:r>
          </w:p>
        </w:tc>
        <w:tc>
          <w:tcPr>
            <w:tcW w:w="840" w:type="pct"/>
            <w:tcBorders>
              <w:tl2br w:val="nil"/>
              <w:tr2bl w:val="nil"/>
            </w:tcBorders>
            <w:vAlign w:val="center"/>
          </w:tcPr>
          <w:p w14:paraId="1F0DE599">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0.80</w:t>
            </w:r>
          </w:p>
        </w:tc>
        <w:tc>
          <w:tcPr>
            <w:tcW w:w="1204" w:type="pct"/>
            <w:tcBorders>
              <w:tl2br w:val="nil"/>
              <w:tr2bl w:val="nil"/>
            </w:tcBorders>
            <w:vAlign w:val="center"/>
          </w:tcPr>
          <w:p w14:paraId="730ED09D">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lang w:val="en-US" w:eastAsia="zh-CN"/>
              </w:rPr>
              <w:t>0</w:t>
            </w:r>
          </w:p>
        </w:tc>
      </w:tr>
      <w:tr w14:paraId="0676D9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2" w:type="pct"/>
            <w:tcBorders>
              <w:tl2br w:val="nil"/>
              <w:tr2bl w:val="nil"/>
            </w:tcBorders>
            <w:vAlign w:val="center"/>
          </w:tcPr>
          <w:p w14:paraId="509387CD">
            <w:pPr>
              <w:pStyle w:val="18"/>
              <w:ind w:firstLine="0" w:firstLineChars="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w:t>
            </w:r>
          </w:p>
        </w:tc>
        <w:tc>
          <w:tcPr>
            <w:tcW w:w="1228" w:type="pct"/>
            <w:tcBorders>
              <w:tl2br w:val="nil"/>
              <w:tr2bl w:val="nil"/>
            </w:tcBorders>
            <w:vAlign w:val="center"/>
          </w:tcPr>
          <w:p w14:paraId="20E50C92">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覆土</w:t>
            </w:r>
          </w:p>
        </w:tc>
        <w:tc>
          <w:tcPr>
            <w:tcW w:w="619" w:type="pct"/>
            <w:tcBorders>
              <w:tl2br w:val="nil"/>
              <w:tr2bl w:val="nil"/>
            </w:tcBorders>
            <w:vAlign w:val="center"/>
          </w:tcPr>
          <w:p w14:paraId="66486EFE">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万m</w:t>
            </w:r>
            <w:r>
              <w:rPr>
                <w:rFonts w:hint="default" w:ascii="Times New Roman" w:hAnsi="Times New Roman" w:cs="Times New Roman"/>
                <w:sz w:val="24"/>
                <w:szCs w:val="24"/>
                <w:vertAlign w:val="superscript"/>
              </w:rPr>
              <w:t>3</w:t>
            </w:r>
          </w:p>
        </w:tc>
        <w:tc>
          <w:tcPr>
            <w:tcW w:w="725" w:type="pct"/>
            <w:tcBorders>
              <w:tl2br w:val="nil"/>
              <w:tr2bl w:val="nil"/>
            </w:tcBorders>
            <w:vAlign w:val="center"/>
          </w:tcPr>
          <w:p w14:paraId="7214F6E0">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0.32</w:t>
            </w:r>
          </w:p>
        </w:tc>
        <w:tc>
          <w:tcPr>
            <w:tcW w:w="840" w:type="pct"/>
            <w:tcBorders>
              <w:tl2br w:val="nil"/>
              <w:tr2bl w:val="nil"/>
            </w:tcBorders>
            <w:vAlign w:val="center"/>
          </w:tcPr>
          <w:p w14:paraId="6CA56D93">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cs="Times New Roman"/>
                <w:color w:val="auto"/>
                <w:sz w:val="24"/>
                <w:szCs w:val="24"/>
                <w:lang w:val="en-US" w:eastAsia="zh-CN"/>
              </w:rPr>
            </w:pPr>
            <w:r>
              <w:rPr>
                <w:rFonts w:hint="eastAsia"/>
                <w:color w:val="auto"/>
                <w:sz w:val="24"/>
                <w:szCs w:val="24"/>
                <w:lang w:val="en-US" w:eastAsia="zh-CN"/>
              </w:rPr>
              <w:t>0.32</w:t>
            </w:r>
          </w:p>
        </w:tc>
        <w:tc>
          <w:tcPr>
            <w:tcW w:w="1204" w:type="pct"/>
            <w:tcBorders>
              <w:tl2br w:val="nil"/>
              <w:tr2bl w:val="nil"/>
            </w:tcBorders>
            <w:vAlign w:val="center"/>
          </w:tcPr>
          <w:p w14:paraId="5054E0F9">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szCs w:val="24"/>
                <w:lang w:val="en-US" w:eastAsia="zh-CN"/>
              </w:rPr>
            </w:pPr>
            <w:r>
              <w:rPr>
                <w:rFonts w:hint="eastAsia"/>
                <w:color w:val="auto"/>
                <w:lang w:val="en-US" w:eastAsia="zh-CN"/>
              </w:rPr>
              <w:t>0</w:t>
            </w:r>
          </w:p>
        </w:tc>
      </w:tr>
      <w:tr w14:paraId="2C9B8E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2" w:type="pct"/>
            <w:tcBorders>
              <w:tl2br w:val="nil"/>
              <w:tr2bl w:val="nil"/>
            </w:tcBorders>
            <w:vAlign w:val="center"/>
          </w:tcPr>
          <w:p w14:paraId="006D1931">
            <w:pPr>
              <w:pStyle w:val="18"/>
              <w:ind w:firstLine="0" w:firstLineChars="0"/>
              <w:rPr>
                <w:rFonts w:hint="eastAsia" w:cs="Times New Roman"/>
                <w:color w:val="auto"/>
                <w:sz w:val="24"/>
                <w:szCs w:val="24"/>
                <w:lang w:val="en-US" w:eastAsia="zh-CN"/>
              </w:rPr>
            </w:pPr>
            <w:r>
              <w:rPr>
                <w:rFonts w:hint="eastAsia" w:ascii="Times New Roman" w:hAnsi="Times New Roman" w:cs="Times New Roman"/>
                <w:color w:val="auto"/>
                <w:sz w:val="24"/>
                <w:szCs w:val="24"/>
                <w:lang w:val="en-US" w:eastAsia="zh-CN"/>
              </w:rPr>
              <w:t>4</w:t>
            </w:r>
          </w:p>
        </w:tc>
        <w:tc>
          <w:tcPr>
            <w:tcW w:w="1228" w:type="pct"/>
            <w:tcBorders>
              <w:tl2br w:val="nil"/>
              <w:tr2bl w:val="nil"/>
            </w:tcBorders>
            <w:vAlign w:val="center"/>
          </w:tcPr>
          <w:p w14:paraId="13D34E6B">
            <w:pPr>
              <w:widowControl w:val="0"/>
              <w:adjustRightInd w:val="0"/>
              <w:snapToGrid w:val="0"/>
              <w:spacing w:line="240" w:lineRule="auto"/>
              <w:ind w:firstLine="0" w:firstLineChars="0"/>
              <w:jc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植草砖</w:t>
            </w:r>
          </w:p>
        </w:tc>
        <w:tc>
          <w:tcPr>
            <w:tcW w:w="619" w:type="pct"/>
            <w:tcBorders>
              <w:tl2br w:val="nil"/>
              <w:tr2bl w:val="nil"/>
            </w:tcBorders>
            <w:vAlign w:val="center"/>
          </w:tcPr>
          <w:p w14:paraId="1CEA070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m</w:t>
            </w:r>
            <w:r>
              <w:rPr>
                <w:rFonts w:hint="eastAsia" w:ascii="Times New Roman" w:hAnsi="Times New Roman" w:cs="Times New Roman"/>
                <w:sz w:val="24"/>
                <w:szCs w:val="24"/>
                <w:vertAlign w:val="superscript"/>
                <w:lang w:val="en-US" w:eastAsia="zh-CN"/>
              </w:rPr>
              <w:t>2</w:t>
            </w:r>
          </w:p>
        </w:tc>
        <w:tc>
          <w:tcPr>
            <w:tcW w:w="725" w:type="pct"/>
            <w:tcBorders>
              <w:tl2br w:val="nil"/>
              <w:tr2bl w:val="nil"/>
            </w:tcBorders>
            <w:vAlign w:val="center"/>
          </w:tcPr>
          <w:p w14:paraId="372A5E51">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sz w:val="24"/>
                <w:szCs w:val="24"/>
                <w:lang w:val="en-US" w:eastAsia="zh-CN"/>
              </w:rPr>
            </w:pPr>
            <w:r>
              <w:rPr>
                <w:rFonts w:hint="eastAsia"/>
                <w:sz w:val="24"/>
                <w:szCs w:val="24"/>
                <w:lang w:val="en-US" w:eastAsia="zh-CN"/>
              </w:rPr>
              <w:t>117.60</w:t>
            </w:r>
          </w:p>
        </w:tc>
        <w:tc>
          <w:tcPr>
            <w:tcW w:w="840" w:type="pct"/>
            <w:tcBorders>
              <w:tl2br w:val="nil"/>
              <w:tr2bl w:val="nil"/>
            </w:tcBorders>
            <w:vAlign w:val="center"/>
          </w:tcPr>
          <w:p w14:paraId="20F71F0D">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117.60</w:t>
            </w:r>
          </w:p>
        </w:tc>
        <w:tc>
          <w:tcPr>
            <w:tcW w:w="1204" w:type="pct"/>
            <w:tcBorders>
              <w:tl2br w:val="nil"/>
              <w:tr2bl w:val="nil"/>
            </w:tcBorders>
            <w:vAlign w:val="center"/>
          </w:tcPr>
          <w:p w14:paraId="185C8C5D">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szCs w:val="24"/>
                <w:lang w:val="en-US" w:eastAsia="zh-CN"/>
              </w:rPr>
            </w:pPr>
            <w:r>
              <w:rPr>
                <w:rFonts w:hint="eastAsia" w:ascii="Times New Roman" w:hAnsi="Times New Roman" w:cs="Times New Roman"/>
                <w:color w:val="auto"/>
                <w:lang w:val="en-US" w:eastAsia="zh-CN"/>
              </w:rPr>
              <w:t>0</w:t>
            </w:r>
          </w:p>
        </w:tc>
      </w:tr>
      <w:tr w14:paraId="3A282B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2" w:type="pct"/>
            <w:tcBorders>
              <w:tl2br w:val="nil"/>
              <w:tr2bl w:val="nil"/>
            </w:tcBorders>
            <w:vAlign w:val="center"/>
          </w:tcPr>
          <w:p w14:paraId="3198AD2C">
            <w:pPr>
              <w:pStyle w:val="18"/>
              <w:ind w:firstLine="0" w:firstLineChars="0"/>
              <w:rPr>
                <w:rFonts w:hint="eastAsia" w:cs="Times New Roman"/>
                <w:color w:val="auto"/>
                <w:sz w:val="24"/>
                <w:szCs w:val="24"/>
                <w:lang w:val="en-US" w:eastAsia="zh-CN"/>
              </w:rPr>
            </w:pPr>
            <w:r>
              <w:rPr>
                <w:rFonts w:hint="eastAsia" w:ascii="Times New Roman" w:hAnsi="Times New Roman" w:cs="Times New Roman"/>
                <w:color w:val="auto"/>
                <w:sz w:val="24"/>
                <w:szCs w:val="24"/>
                <w:lang w:val="en-US" w:eastAsia="zh-CN"/>
              </w:rPr>
              <w:t>5</w:t>
            </w:r>
          </w:p>
        </w:tc>
        <w:tc>
          <w:tcPr>
            <w:tcW w:w="1228" w:type="pct"/>
            <w:tcBorders>
              <w:tl2br w:val="nil"/>
              <w:tr2bl w:val="nil"/>
            </w:tcBorders>
            <w:vAlign w:val="center"/>
          </w:tcPr>
          <w:p w14:paraId="130A4702">
            <w:pPr>
              <w:widowControl w:val="0"/>
              <w:adjustRightInd w:val="0"/>
              <w:snapToGrid w:val="0"/>
              <w:spacing w:line="240" w:lineRule="auto"/>
              <w:ind w:firstLine="0" w:firstLineChars="0"/>
              <w:jc w:val="center"/>
              <w:rPr>
                <w:rFonts w:hint="default" w:ascii="Times New Roman" w:hAnsi="Times New Roman" w:cs="Times New Roman"/>
                <w:sz w:val="24"/>
                <w:szCs w:val="24"/>
              </w:rPr>
            </w:pPr>
            <w:r>
              <w:rPr>
                <w:rFonts w:hint="eastAsia" w:cs="Times New Roman"/>
                <w:sz w:val="24"/>
                <w:szCs w:val="24"/>
                <w:lang w:val="en-US" w:eastAsia="zh-CN"/>
              </w:rPr>
              <w:t>排水沟</w:t>
            </w:r>
          </w:p>
        </w:tc>
        <w:tc>
          <w:tcPr>
            <w:tcW w:w="619" w:type="pct"/>
            <w:tcBorders>
              <w:tl2br w:val="nil"/>
              <w:tr2bl w:val="nil"/>
            </w:tcBorders>
            <w:vAlign w:val="center"/>
          </w:tcPr>
          <w:p w14:paraId="5296D68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m</w:t>
            </w:r>
          </w:p>
        </w:tc>
        <w:tc>
          <w:tcPr>
            <w:tcW w:w="725" w:type="pct"/>
            <w:tcBorders>
              <w:tl2br w:val="nil"/>
              <w:tr2bl w:val="nil"/>
            </w:tcBorders>
            <w:vAlign w:val="center"/>
          </w:tcPr>
          <w:p w14:paraId="7F1AD10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sz w:val="24"/>
                <w:szCs w:val="24"/>
                <w:lang w:val="en-US" w:eastAsia="zh-CN"/>
              </w:rPr>
            </w:pPr>
            <w:r>
              <w:rPr>
                <w:rFonts w:hint="eastAsia"/>
                <w:sz w:val="24"/>
                <w:szCs w:val="24"/>
                <w:lang w:val="en-US" w:eastAsia="zh-CN"/>
              </w:rPr>
              <w:t>319</w:t>
            </w:r>
          </w:p>
        </w:tc>
        <w:tc>
          <w:tcPr>
            <w:tcW w:w="840" w:type="pct"/>
            <w:tcBorders>
              <w:tl2br w:val="nil"/>
              <w:tr2bl w:val="nil"/>
            </w:tcBorders>
            <w:vAlign w:val="center"/>
          </w:tcPr>
          <w:p w14:paraId="237B60C8">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319</w:t>
            </w:r>
          </w:p>
        </w:tc>
        <w:tc>
          <w:tcPr>
            <w:tcW w:w="1204" w:type="pct"/>
            <w:tcBorders>
              <w:tl2br w:val="nil"/>
              <w:tr2bl w:val="nil"/>
            </w:tcBorders>
            <w:vAlign w:val="center"/>
          </w:tcPr>
          <w:p w14:paraId="3C52FED5">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lang w:val="en-US" w:eastAsia="zh-CN"/>
              </w:rPr>
              <w:t>0</w:t>
            </w:r>
          </w:p>
        </w:tc>
      </w:tr>
    </w:tbl>
    <w:p w14:paraId="2C0BCFCE">
      <w:pPr>
        <w:pStyle w:val="5"/>
        <w:widowControl/>
        <w:rPr>
          <w:rFonts w:eastAsia="仿宋"/>
          <w:color w:val="auto"/>
          <w:kern w:val="0"/>
        </w:rPr>
      </w:pPr>
      <w:r>
        <w:rPr>
          <w:rFonts w:eastAsia="仿宋"/>
          <w:color w:val="auto"/>
          <w:kern w:val="0"/>
        </w:rPr>
        <w:t>3.5.1.</w:t>
      </w:r>
      <w:r>
        <w:rPr>
          <w:rFonts w:hint="eastAsia" w:eastAsia="仿宋"/>
          <w:color w:val="auto"/>
          <w:kern w:val="0"/>
          <w:lang w:val="en-US" w:eastAsia="zh-CN"/>
        </w:rPr>
        <w:t>2施工便道</w:t>
      </w:r>
      <w:r>
        <w:rPr>
          <w:rFonts w:eastAsia="仿宋"/>
          <w:color w:val="auto"/>
          <w:kern w:val="0"/>
        </w:rPr>
        <w:t>防治区</w:t>
      </w:r>
    </w:p>
    <w:p w14:paraId="5E704C64">
      <w:pPr>
        <w:snapToGrid w:val="0"/>
        <w:ind w:firstLine="560"/>
        <w:rPr>
          <w:bCs/>
          <w:color w:val="auto"/>
          <w:szCs w:val="28"/>
        </w:rPr>
      </w:pPr>
      <w:r>
        <w:rPr>
          <w:bCs/>
          <w:color w:val="auto"/>
          <w:szCs w:val="28"/>
        </w:rPr>
        <w:t>根据现场核查，施工单位已对</w:t>
      </w:r>
      <w:r>
        <w:rPr>
          <w:rFonts w:hint="eastAsia"/>
          <w:bCs/>
          <w:color w:val="auto"/>
          <w:szCs w:val="28"/>
          <w:lang w:val="en-US" w:eastAsia="zh-CN"/>
        </w:rPr>
        <w:t>该区域撒播草籽处</w:t>
      </w:r>
      <w:r>
        <w:rPr>
          <w:bCs/>
          <w:color w:val="auto"/>
          <w:szCs w:val="28"/>
        </w:rPr>
        <w:t>进行土地整治，土地整治面积</w:t>
      </w:r>
      <w:r>
        <w:rPr>
          <w:rFonts w:hint="eastAsia"/>
          <w:lang w:val="en-US" w:eastAsia="zh-CN"/>
        </w:rPr>
        <w:t>0.02</w:t>
      </w:r>
      <w:r>
        <w:rPr>
          <w:rFonts w:hint="eastAsia"/>
        </w:rPr>
        <w:t>h</w:t>
      </w:r>
      <w:r>
        <w:rPr>
          <w:bCs/>
          <w:color w:val="auto"/>
          <w:szCs w:val="28"/>
        </w:rPr>
        <w:t>m</w:t>
      </w:r>
      <w:r>
        <w:rPr>
          <w:bCs/>
          <w:color w:val="auto"/>
          <w:szCs w:val="28"/>
          <w:vertAlign w:val="superscript"/>
        </w:rPr>
        <w:t>2</w:t>
      </w:r>
      <w:r>
        <w:rPr>
          <w:bCs/>
          <w:color w:val="auto"/>
          <w:szCs w:val="28"/>
        </w:rPr>
        <w:t>，与水土保持方案设计相比，土地整治面积不变；对</w:t>
      </w:r>
      <w:r>
        <w:rPr>
          <w:rFonts w:hint="eastAsia"/>
          <w:bCs/>
          <w:color w:val="auto"/>
          <w:szCs w:val="28"/>
          <w:lang w:val="en-US" w:eastAsia="zh-CN"/>
        </w:rPr>
        <w:t>该区域撒播草籽</w:t>
      </w:r>
      <w:r>
        <w:rPr>
          <w:bCs/>
          <w:color w:val="auto"/>
          <w:szCs w:val="28"/>
        </w:rPr>
        <w:t>用地进行覆土</w:t>
      </w:r>
      <w:r>
        <w:rPr>
          <w:rFonts w:hint="eastAsia"/>
          <w:bCs/>
          <w:color w:val="auto"/>
          <w:szCs w:val="28"/>
          <w:lang w:val="en-US" w:eastAsia="zh-CN"/>
        </w:rPr>
        <w:t>回填0.002</w:t>
      </w:r>
      <w:r>
        <w:rPr>
          <w:bCs/>
          <w:color w:val="auto"/>
          <w:szCs w:val="28"/>
        </w:rPr>
        <w:t>万m</w:t>
      </w:r>
      <w:r>
        <w:rPr>
          <w:bCs/>
          <w:color w:val="auto"/>
          <w:szCs w:val="28"/>
          <w:vertAlign w:val="superscript"/>
        </w:rPr>
        <w:t>3</w:t>
      </w:r>
      <w:r>
        <w:rPr>
          <w:bCs/>
          <w:color w:val="auto"/>
          <w:szCs w:val="28"/>
        </w:rPr>
        <w:t>，覆土方量不变</w:t>
      </w:r>
      <w:r>
        <w:rPr>
          <w:rFonts w:hint="eastAsia"/>
          <w:bCs/>
          <w:color w:val="auto"/>
          <w:szCs w:val="28"/>
        </w:rPr>
        <w:t>。</w:t>
      </w:r>
    </w:p>
    <w:p w14:paraId="27F7C4DA">
      <w:pPr>
        <w:pStyle w:val="20"/>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2</w:t>
      </w:r>
      <w:r>
        <w:rPr>
          <w:color w:val="auto"/>
        </w:rPr>
        <w:t xml:space="preserve"> </w:t>
      </w:r>
      <w:r>
        <w:rPr>
          <w:rFonts w:hint="eastAsia"/>
          <w:color w:val="auto"/>
          <w:lang w:val="en-US" w:eastAsia="zh-CN"/>
        </w:rPr>
        <w:t>施工便道防治区</w:t>
      </w:r>
      <w:r>
        <w:rPr>
          <w:color w:val="auto"/>
        </w:rPr>
        <w:t>工程措施情况表</w:t>
      </w:r>
    </w:p>
    <w:tbl>
      <w:tblPr>
        <w:tblStyle w:val="14"/>
        <w:tblpPr w:leftFromText="180" w:rightFromText="180" w:vertAnchor="text" w:tblpXSpec="center" w:tblpY="1"/>
        <w:tblOverlap w:val="never"/>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6"/>
        <w:gridCol w:w="2152"/>
        <w:gridCol w:w="1085"/>
        <w:gridCol w:w="1271"/>
        <w:gridCol w:w="1472"/>
        <w:gridCol w:w="2111"/>
      </w:tblGrid>
      <w:tr w14:paraId="25CCF1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380" w:type="pct"/>
            <w:tcBorders>
              <w:tl2br w:val="nil"/>
              <w:tr2bl w:val="nil"/>
            </w:tcBorders>
            <w:vAlign w:val="center"/>
          </w:tcPr>
          <w:p w14:paraId="6096F43E">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序号</w:t>
            </w:r>
          </w:p>
        </w:tc>
        <w:tc>
          <w:tcPr>
            <w:tcW w:w="1228" w:type="pct"/>
            <w:tcBorders>
              <w:tl2br w:val="nil"/>
              <w:tr2bl w:val="nil"/>
            </w:tcBorders>
            <w:vAlign w:val="center"/>
          </w:tcPr>
          <w:p w14:paraId="7DD9AA06">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防护措施</w:t>
            </w:r>
          </w:p>
        </w:tc>
        <w:tc>
          <w:tcPr>
            <w:tcW w:w="619" w:type="pct"/>
            <w:tcBorders>
              <w:tl2br w:val="nil"/>
              <w:tr2bl w:val="nil"/>
            </w:tcBorders>
            <w:vAlign w:val="center"/>
          </w:tcPr>
          <w:p w14:paraId="048E6658">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单位</w:t>
            </w:r>
          </w:p>
        </w:tc>
        <w:tc>
          <w:tcPr>
            <w:tcW w:w="725" w:type="pct"/>
            <w:tcBorders>
              <w:tl2br w:val="nil"/>
              <w:tr2bl w:val="nil"/>
            </w:tcBorders>
            <w:vAlign w:val="center"/>
          </w:tcPr>
          <w:p w14:paraId="56549ED1">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方案设计工程量</w:t>
            </w:r>
          </w:p>
        </w:tc>
        <w:tc>
          <w:tcPr>
            <w:tcW w:w="840" w:type="pct"/>
            <w:tcBorders>
              <w:tl2br w:val="nil"/>
              <w:tr2bl w:val="nil"/>
            </w:tcBorders>
            <w:vAlign w:val="center"/>
          </w:tcPr>
          <w:p w14:paraId="5530713F">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实际完成工程量</w:t>
            </w:r>
          </w:p>
        </w:tc>
        <w:tc>
          <w:tcPr>
            <w:tcW w:w="1204" w:type="pct"/>
            <w:tcBorders>
              <w:tl2br w:val="nil"/>
              <w:tr2bl w:val="nil"/>
            </w:tcBorders>
            <w:vAlign w:val="center"/>
          </w:tcPr>
          <w:p w14:paraId="67362F8E">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增减情况（+/-）</w:t>
            </w:r>
          </w:p>
        </w:tc>
      </w:tr>
      <w:tr w14:paraId="5653F4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0" w:type="pct"/>
            <w:tcBorders>
              <w:tl2br w:val="nil"/>
              <w:tr2bl w:val="nil"/>
            </w:tcBorders>
            <w:vAlign w:val="center"/>
          </w:tcPr>
          <w:p w14:paraId="703A95E8">
            <w:pPr>
              <w:pStyle w:val="18"/>
              <w:ind w:firstLine="0" w:firstLineChars="0"/>
              <w:rPr>
                <w:rFonts w:hint="default" w:ascii="Times New Roman" w:hAnsi="Times New Roman" w:eastAsia="仿宋_GB2312" w:cs="Times New Roman"/>
                <w:color w:val="auto"/>
                <w:sz w:val="24"/>
                <w:szCs w:val="24"/>
                <w:lang w:val="en-US" w:eastAsia="zh-CN"/>
              </w:rPr>
            </w:pPr>
            <w:r>
              <w:rPr>
                <w:rFonts w:hint="eastAsia" w:cs="Times New Roman"/>
                <w:color w:val="auto"/>
                <w:sz w:val="24"/>
                <w:szCs w:val="24"/>
                <w:lang w:val="en-US" w:eastAsia="zh-CN"/>
              </w:rPr>
              <w:t>1</w:t>
            </w:r>
          </w:p>
        </w:tc>
        <w:tc>
          <w:tcPr>
            <w:tcW w:w="1228" w:type="pct"/>
            <w:tcBorders>
              <w:tl2br w:val="nil"/>
              <w:tr2bl w:val="nil"/>
            </w:tcBorders>
            <w:vAlign w:val="center"/>
          </w:tcPr>
          <w:p w14:paraId="58F6452A">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土地整治</w:t>
            </w:r>
          </w:p>
        </w:tc>
        <w:tc>
          <w:tcPr>
            <w:tcW w:w="619" w:type="pct"/>
            <w:tcBorders>
              <w:tl2br w:val="nil"/>
              <w:tr2bl w:val="nil"/>
            </w:tcBorders>
            <w:vAlign w:val="center"/>
          </w:tcPr>
          <w:p w14:paraId="5EEA88D7">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m</w:t>
            </w:r>
            <w:r>
              <w:rPr>
                <w:rFonts w:hint="default" w:ascii="Times New Roman" w:hAnsi="Times New Roman" w:cs="Times New Roman"/>
                <w:sz w:val="24"/>
                <w:szCs w:val="24"/>
                <w:vertAlign w:val="superscript"/>
              </w:rPr>
              <w:t>2</w:t>
            </w:r>
          </w:p>
        </w:tc>
        <w:tc>
          <w:tcPr>
            <w:tcW w:w="725" w:type="pct"/>
            <w:tcBorders>
              <w:tl2br w:val="nil"/>
              <w:tr2bl w:val="nil"/>
            </w:tcBorders>
            <w:vAlign w:val="center"/>
          </w:tcPr>
          <w:p w14:paraId="2CB91ACC">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0.02</w:t>
            </w:r>
          </w:p>
        </w:tc>
        <w:tc>
          <w:tcPr>
            <w:tcW w:w="840" w:type="pct"/>
            <w:tcBorders>
              <w:tl2br w:val="nil"/>
              <w:tr2bl w:val="nil"/>
            </w:tcBorders>
            <w:vAlign w:val="center"/>
          </w:tcPr>
          <w:p w14:paraId="0660778A">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0.02</w:t>
            </w:r>
          </w:p>
        </w:tc>
        <w:tc>
          <w:tcPr>
            <w:tcW w:w="1204" w:type="pct"/>
            <w:tcBorders>
              <w:tl2br w:val="nil"/>
              <w:tr2bl w:val="nil"/>
            </w:tcBorders>
            <w:vAlign w:val="center"/>
          </w:tcPr>
          <w:p w14:paraId="6AE20AAF">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lang w:val="en-US" w:eastAsia="zh-CN"/>
              </w:rPr>
              <w:t>0</w:t>
            </w:r>
          </w:p>
        </w:tc>
      </w:tr>
      <w:tr w14:paraId="53E9E76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0" w:type="pct"/>
            <w:tcBorders>
              <w:tl2br w:val="nil"/>
              <w:tr2bl w:val="nil"/>
            </w:tcBorders>
            <w:vAlign w:val="center"/>
          </w:tcPr>
          <w:p w14:paraId="7FC97A81">
            <w:pPr>
              <w:pStyle w:val="18"/>
              <w:ind w:firstLine="0" w:firstLineChars="0"/>
              <w:rPr>
                <w:rFonts w:hint="default" w:ascii="Times New Roman" w:hAnsi="Times New Roman" w:cs="Times New Roman"/>
                <w:color w:val="auto"/>
                <w:sz w:val="24"/>
                <w:szCs w:val="24"/>
                <w:lang w:val="en-US" w:eastAsia="zh-CN"/>
              </w:rPr>
            </w:pPr>
            <w:r>
              <w:rPr>
                <w:rFonts w:hint="eastAsia" w:cs="Times New Roman"/>
                <w:color w:val="auto"/>
                <w:sz w:val="24"/>
                <w:szCs w:val="24"/>
                <w:lang w:val="en-US" w:eastAsia="zh-CN"/>
              </w:rPr>
              <w:t>2</w:t>
            </w:r>
          </w:p>
        </w:tc>
        <w:tc>
          <w:tcPr>
            <w:tcW w:w="1228" w:type="pct"/>
            <w:tcBorders>
              <w:tl2br w:val="nil"/>
              <w:tr2bl w:val="nil"/>
            </w:tcBorders>
            <w:vAlign w:val="center"/>
          </w:tcPr>
          <w:p w14:paraId="237FC87A">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覆土</w:t>
            </w:r>
          </w:p>
        </w:tc>
        <w:tc>
          <w:tcPr>
            <w:tcW w:w="619" w:type="pct"/>
            <w:tcBorders>
              <w:tl2br w:val="nil"/>
              <w:tr2bl w:val="nil"/>
            </w:tcBorders>
            <w:vAlign w:val="center"/>
          </w:tcPr>
          <w:p w14:paraId="1CF8555E">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万m</w:t>
            </w:r>
            <w:r>
              <w:rPr>
                <w:rFonts w:hint="default" w:ascii="Times New Roman" w:hAnsi="Times New Roman" w:cs="Times New Roman"/>
                <w:sz w:val="24"/>
                <w:szCs w:val="24"/>
                <w:vertAlign w:val="superscript"/>
              </w:rPr>
              <w:t>3</w:t>
            </w:r>
          </w:p>
        </w:tc>
        <w:tc>
          <w:tcPr>
            <w:tcW w:w="725" w:type="pct"/>
            <w:tcBorders>
              <w:tl2br w:val="nil"/>
              <w:tr2bl w:val="nil"/>
            </w:tcBorders>
            <w:vAlign w:val="center"/>
          </w:tcPr>
          <w:p w14:paraId="61B3FE05">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0.002</w:t>
            </w:r>
          </w:p>
        </w:tc>
        <w:tc>
          <w:tcPr>
            <w:tcW w:w="840" w:type="pct"/>
            <w:tcBorders>
              <w:tl2br w:val="nil"/>
              <w:tr2bl w:val="nil"/>
            </w:tcBorders>
            <w:vAlign w:val="center"/>
          </w:tcPr>
          <w:p w14:paraId="7FE52401">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cs="Times New Roman"/>
                <w:color w:val="auto"/>
                <w:sz w:val="24"/>
                <w:szCs w:val="24"/>
                <w:lang w:val="en-US" w:eastAsia="zh-CN"/>
              </w:rPr>
            </w:pPr>
            <w:r>
              <w:rPr>
                <w:rFonts w:hint="eastAsia"/>
                <w:color w:val="auto"/>
                <w:sz w:val="24"/>
                <w:szCs w:val="24"/>
                <w:lang w:val="en-US" w:eastAsia="zh-CN"/>
              </w:rPr>
              <w:t>0.002</w:t>
            </w:r>
          </w:p>
        </w:tc>
        <w:tc>
          <w:tcPr>
            <w:tcW w:w="1204" w:type="pct"/>
            <w:tcBorders>
              <w:tl2br w:val="nil"/>
              <w:tr2bl w:val="nil"/>
            </w:tcBorders>
            <w:vAlign w:val="center"/>
          </w:tcPr>
          <w:p w14:paraId="1CDE7566">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auto"/>
                <w:sz w:val="24"/>
                <w:szCs w:val="24"/>
                <w:lang w:val="en-US" w:eastAsia="zh-CN"/>
              </w:rPr>
            </w:pPr>
            <w:r>
              <w:rPr>
                <w:rFonts w:hint="eastAsia"/>
                <w:color w:val="auto"/>
                <w:lang w:val="en-US" w:eastAsia="zh-CN"/>
              </w:rPr>
              <w:t>0</w:t>
            </w:r>
          </w:p>
        </w:tc>
      </w:tr>
    </w:tbl>
    <w:p w14:paraId="5283BE1F">
      <w:pPr>
        <w:pStyle w:val="5"/>
        <w:widowControl/>
        <w:rPr>
          <w:rFonts w:eastAsia="仿宋"/>
          <w:color w:val="auto"/>
          <w:kern w:val="0"/>
        </w:rPr>
      </w:pPr>
      <w:r>
        <w:rPr>
          <w:rFonts w:eastAsia="仿宋"/>
          <w:color w:val="auto"/>
          <w:kern w:val="0"/>
        </w:rPr>
        <w:t>3.5.1</w:t>
      </w:r>
      <w:r>
        <w:rPr>
          <w:rFonts w:hint="eastAsia" w:eastAsia="仿宋"/>
          <w:color w:val="auto"/>
          <w:kern w:val="0"/>
          <w:lang w:val="en-US" w:eastAsia="zh-CN"/>
        </w:rPr>
        <w:t>.3施工生产生活</w:t>
      </w:r>
      <w:r>
        <w:rPr>
          <w:rFonts w:eastAsia="仿宋"/>
          <w:color w:val="auto"/>
          <w:kern w:val="0"/>
        </w:rPr>
        <w:t>防治区</w:t>
      </w:r>
    </w:p>
    <w:p w14:paraId="02C5CDD5">
      <w:pPr>
        <w:snapToGrid w:val="0"/>
        <w:ind w:firstLine="560"/>
        <w:rPr>
          <w:bCs/>
          <w:color w:val="auto"/>
          <w:szCs w:val="28"/>
        </w:rPr>
      </w:pPr>
      <w:r>
        <w:rPr>
          <w:bCs/>
          <w:color w:val="auto"/>
          <w:szCs w:val="28"/>
        </w:rPr>
        <w:t>根据现场核查，施工单位</w:t>
      </w:r>
      <w:r>
        <w:rPr>
          <w:rFonts w:hint="eastAsia"/>
          <w:bCs/>
          <w:color w:val="auto"/>
          <w:szCs w:val="28"/>
          <w:lang w:val="en-US" w:eastAsia="zh-CN"/>
        </w:rPr>
        <w:t>拆除该区域的板房和硬化，归还原嘉达纺织厂地北侧规划路道路工程建设单位建设使用。</w:t>
      </w:r>
      <w:r>
        <w:rPr>
          <w:bCs/>
          <w:color w:val="auto"/>
          <w:szCs w:val="28"/>
        </w:rPr>
        <w:t>与水土保持方案设计相比，</w:t>
      </w:r>
      <w:r>
        <w:rPr>
          <w:rFonts w:hint="eastAsia"/>
          <w:bCs/>
          <w:color w:val="auto"/>
          <w:szCs w:val="28"/>
          <w:lang w:val="en-US" w:eastAsia="zh-CN"/>
        </w:rPr>
        <w:t>全面整地面积减少0.23</w:t>
      </w:r>
      <w:r>
        <w:rPr>
          <w:rFonts w:hint="eastAsia"/>
        </w:rPr>
        <w:t>h</w:t>
      </w:r>
      <w:r>
        <w:rPr>
          <w:bCs/>
          <w:color w:val="auto"/>
          <w:szCs w:val="28"/>
        </w:rPr>
        <w:t>m</w:t>
      </w:r>
      <w:r>
        <w:rPr>
          <w:bCs/>
          <w:color w:val="auto"/>
          <w:szCs w:val="28"/>
          <w:vertAlign w:val="superscript"/>
        </w:rPr>
        <w:t>2</w:t>
      </w:r>
      <w:r>
        <w:rPr>
          <w:bCs/>
          <w:color w:val="auto"/>
          <w:szCs w:val="28"/>
        </w:rPr>
        <w:t>，覆土</w:t>
      </w:r>
      <w:r>
        <w:rPr>
          <w:rFonts w:hint="eastAsia"/>
          <w:bCs/>
          <w:color w:val="auto"/>
          <w:szCs w:val="28"/>
          <w:lang w:val="en-US" w:eastAsia="zh-CN"/>
        </w:rPr>
        <w:t>减少0.023</w:t>
      </w:r>
      <w:r>
        <w:rPr>
          <w:bCs/>
          <w:color w:val="auto"/>
          <w:szCs w:val="28"/>
        </w:rPr>
        <w:t>万m</w:t>
      </w:r>
      <w:r>
        <w:rPr>
          <w:bCs/>
          <w:color w:val="auto"/>
          <w:szCs w:val="28"/>
          <w:vertAlign w:val="superscript"/>
        </w:rPr>
        <w:t>3</w:t>
      </w:r>
      <w:r>
        <w:rPr>
          <w:rFonts w:hint="eastAsia"/>
          <w:bCs/>
          <w:color w:val="auto"/>
          <w:szCs w:val="28"/>
        </w:rPr>
        <w:t>。</w:t>
      </w:r>
    </w:p>
    <w:p w14:paraId="5157B040">
      <w:pPr>
        <w:pStyle w:val="20"/>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3</w:t>
      </w:r>
      <w:r>
        <w:rPr>
          <w:color w:val="auto"/>
        </w:rPr>
        <w:t xml:space="preserve"> </w:t>
      </w:r>
      <w:r>
        <w:rPr>
          <w:rFonts w:hint="eastAsia"/>
          <w:color w:val="auto"/>
          <w:lang w:val="en-US" w:eastAsia="zh-CN"/>
        </w:rPr>
        <w:t>施工生产生活防治区</w:t>
      </w:r>
      <w:r>
        <w:rPr>
          <w:color w:val="auto"/>
        </w:rPr>
        <w:t>工程措施情况表</w:t>
      </w:r>
    </w:p>
    <w:tbl>
      <w:tblPr>
        <w:tblStyle w:val="14"/>
        <w:tblpPr w:leftFromText="180" w:rightFromText="180" w:vertAnchor="text" w:tblpXSpec="center" w:tblpY="1"/>
        <w:tblOverlap w:val="never"/>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7"/>
        <w:gridCol w:w="2152"/>
        <w:gridCol w:w="1085"/>
        <w:gridCol w:w="1270"/>
        <w:gridCol w:w="1472"/>
        <w:gridCol w:w="2111"/>
      </w:tblGrid>
      <w:tr w14:paraId="6364FC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381" w:type="pct"/>
            <w:tcBorders>
              <w:tl2br w:val="nil"/>
              <w:tr2bl w:val="nil"/>
            </w:tcBorders>
            <w:vAlign w:val="center"/>
          </w:tcPr>
          <w:p w14:paraId="19ED90AF">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序号</w:t>
            </w:r>
          </w:p>
        </w:tc>
        <w:tc>
          <w:tcPr>
            <w:tcW w:w="1228" w:type="pct"/>
            <w:tcBorders>
              <w:tl2br w:val="nil"/>
              <w:tr2bl w:val="nil"/>
            </w:tcBorders>
            <w:vAlign w:val="center"/>
          </w:tcPr>
          <w:p w14:paraId="3302CAF3">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防护措施</w:t>
            </w:r>
          </w:p>
        </w:tc>
        <w:tc>
          <w:tcPr>
            <w:tcW w:w="619" w:type="pct"/>
            <w:tcBorders>
              <w:tl2br w:val="nil"/>
              <w:tr2bl w:val="nil"/>
            </w:tcBorders>
            <w:vAlign w:val="center"/>
          </w:tcPr>
          <w:p w14:paraId="77FBCBFE">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单位</w:t>
            </w:r>
          </w:p>
        </w:tc>
        <w:tc>
          <w:tcPr>
            <w:tcW w:w="725" w:type="pct"/>
            <w:tcBorders>
              <w:tl2br w:val="nil"/>
              <w:tr2bl w:val="nil"/>
            </w:tcBorders>
            <w:vAlign w:val="center"/>
          </w:tcPr>
          <w:p w14:paraId="286E66E8">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方案设计工程量</w:t>
            </w:r>
          </w:p>
        </w:tc>
        <w:tc>
          <w:tcPr>
            <w:tcW w:w="840" w:type="pct"/>
            <w:tcBorders>
              <w:tl2br w:val="nil"/>
              <w:tr2bl w:val="nil"/>
            </w:tcBorders>
            <w:vAlign w:val="center"/>
          </w:tcPr>
          <w:p w14:paraId="4B63DEC9">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实际完成工程量</w:t>
            </w:r>
          </w:p>
        </w:tc>
        <w:tc>
          <w:tcPr>
            <w:tcW w:w="1205" w:type="pct"/>
            <w:tcBorders>
              <w:tl2br w:val="nil"/>
              <w:tr2bl w:val="nil"/>
            </w:tcBorders>
            <w:vAlign w:val="center"/>
          </w:tcPr>
          <w:p w14:paraId="2CDA5197">
            <w:pPr>
              <w:pStyle w:val="18"/>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增减情况（+/-）</w:t>
            </w:r>
          </w:p>
        </w:tc>
      </w:tr>
      <w:tr w14:paraId="1BAC83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381" w:type="pct"/>
            <w:tcBorders>
              <w:tl2br w:val="nil"/>
              <w:tr2bl w:val="nil"/>
            </w:tcBorders>
            <w:vAlign w:val="center"/>
          </w:tcPr>
          <w:p w14:paraId="798F428F">
            <w:pPr>
              <w:pStyle w:val="18"/>
              <w:ind w:firstLine="0" w:firstLineChars="0"/>
              <w:rPr>
                <w:rFonts w:hint="default" w:ascii="Times New Roman" w:hAnsi="Times New Roman" w:cs="Times New Roman"/>
                <w:color w:val="auto"/>
                <w:sz w:val="24"/>
                <w:szCs w:val="24"/>
              </w:rPr>
            </w:pPr>
            <w:r>
              <w:rPr>
                <w:rFonts w:hint="eastAsia" w:cs="Times New Roman"/>
                <w:color w:val="auto"/>
                <w:sz w:val="24"/>
                <w:szCs w:val="24"/>
                <w:lang w:val="en-US" w:eastAsia="zh-CN"/>
              </w:rPr>
              <w:t>1</w:t>
            </w:r>
          </w:p>
        </w:tc>
        <w:tc>
          <w:tcPr>
            <w:tcW w:w="1228" w:type="pct"/>
            <w:tcBorders>
              <w:tl2br w:val="nil"/>
              <w:tr2bl w:val="nil"/>
            </w:tcBorders>
            <w:vAlign w:val="center"/>
          </w:tcPr>
          <w:p w14:paraId="48A4C64A">
            <w:pPr>
              <w:widowControl w:val="0"/>
              <w:adjustRightInd w:val="0"/>
              <w:snapToGrid w:val="0"/>
              <w:spacing w:line="240" w:lineRule="auto"/>
              <w:ind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cs="Times New Roman"/>
                <w:sz w:val="24"/>
                <w:szCs w:val="24"/>
              </w:rPr>
              <w:t>土地整治</w:t>
            </w:r>
          </w:p>
        </w:tc>
        <w:tc>
          <w:tcPr>
            <w:tcW w:w="619" w:type="pct"/>
            <w:tcBorders>
              <w:tl2br w:val="nil"/>
              <w:tr2bl w:val="nil"/>
            </w:tcBorders>
            <w:vAlign w:val="center"/>
          </w:tcPr>
          <w:p w14:paraId="79C639CF">
            <w:pPr>
              <w:widowControl w:val="0"/>
              <w:adjustRightInd w:val="0"/>
              <w:snapToGrid w:val="0"/>
              <w:spacing w:line="240" w:lineRule="auto"/>
              <w:ind w:firstLine="0" w:firstLineChars="0"/>
              <w:jc w:val="center"/>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m</w:t>
            </w:r>
            <w:r>
              <w:rPr>
                <w:rFonts w:hint="default" w:ascii="Times New Roman" w:hAnsi="Times New Roman" w:cs="Times New Roman"/>
                <w:sz w:val="24"/>
                <w:szCs w:val="24"/>
                <w:vertAlign w:val="superscript"/>
              </w:rPr>
              <w:t>2</w:t>
            </w:r>
          </w:p>
        </w:tc>
        <w:tc>
          <w:tcPr>
            <w:tcW w:w="725" w:type="pct"/>
            <w:tcBorders>
              <w:tl2br w:val="nil"/>
              <w:tr2bl w:val="nil"/>
            </w:tcBorders>
            <w:vAlign w:val="center"/>
          </w:tcPr>
          <w:p w14:paraId="551398D3">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0.23</w:t>
            </w:r>
          </w:p>
        </w:tc>
        <w:tc>
          <w:tcPr>
            <w:tcW w:w="840" w:type="pct"/>
            <w:tcBorders>
              <w:tl2br w:val="nil"/>
              <w:tr2bl w:val="nil"/>
            </w:tcBorders>
            <w:vAlign w:val="center"/>
          </w:tcPr>
          <w:p w14:paraId="21C929D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sz w:val="24"/>
                <w:szCs w:val="24"/>
                <w:lang w:val="en-US" w:eastAsia="zh-CN"/>
              </w:rPr>
              <w:t>0</w:t>
            </w:r>
          </w:p>
        </w:tc>
        <w:tc>
          <w:tcPr>
            <w:tcW w:w="1205" w:type="pct"/>
            <w:tcBorders>
              <w:tl2br w:val="nil"/>
              <w:tr2bl w:val="nil"/>
            </w:tcBorders>
            <w:vAlign w:val="center"/>
          </w:tcPr>
          <w:p w14:paraId="755B1675">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cs="Times New Roman"/>
                <w:color w:val="auto"/>
                <w:lang w:val="en-US" w:eastAsia="zh-CN"/>
              </w:rPr>
              <w:t>-0.23</w:t>
            </w:r>
          </w:p>
        </w:tc>
      </w:tr>
      <w:tr w14:paraId="729F2E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381" w:type="pct"/>
            <w:tcBorders>
              <w:tl2br w:val="nil"/>
              <w:tr2bl w:val="nil"/>
            </w:tcBorders>
            <w:vAlign w:val="center"/>
          </w:tcPr>
          <w:p w14:paraId="68E26295">
            <w:pPr>
              <w:pStyle w:val="18"/>
              <w:ind w:firstLine="0" w:firstLineChars="0"/>
              <w:rPr>
                <w:rFonts w:hint="default" w:ascii="Times New Roman" w:hAnsi="Times New Roman" w:eastAsia="仿宋_GB2312" w:cs="Times New Roman"/>
                <w:color w:val="auto"/>
                <w:sz w:val="24"/>
                <w:szCs w:val="24"/>
                <w:lang w:val="en-US" w:eastAsia="zh-CN"/>
              </w:rPr>
            </w:pPr>
            <w:r>
              <w:rPr>
                <w:rFonts w:hint="eastAsia" w:cs="Times New Roman"/>
                <w:color w:val="auto"/>
                <w:sz w:val="24"/>
                <w:szCs w:val="24"/>
                <w:lang w:val="en-US" w:eastAsia="zh-CN"/>
              </w:rPr>
              <w:t>2</w:t>
            </w:r>
          </w:p>
        </w:tc>
        <w:tc>
          <w:tcPr>
            <w:tcW w:w="1228" w:type="pct"/>
            <w:tcBorders>
              <w:tl2br w:val="nil"/>
              <w:tr2bl w:val="nil"/>
            </w:tcBorders>
            <w:vAlign w:val="center"/>
          </w:tcPr>
          <w:p w14:paraId="49F1892E">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覆土</w:t>
            </w:r>
          </w:p>
        </w:tc>
        <w:tc>
          <w:tcPr>
            <w:tcW w:w="619" w:type="pct"/>
            <w:tcBorders>
              <w:tl2br w:val="nil"/>
              <w:tr2bl w:val="nil"/>
            </w:tcBorders>
            <w:vAlign w:val="center"/>
          </w:tcPr>
          <w:p w14:paraId="09D6F605">
            <w:pPr>
              <w:widowControl w:val="0"/>
              <w:adjustRightInd w:val="0"/>
              <w:snapToGrid w:val="0"/>
              <w:spacing w:line="240" w:lineRule="auto"/>
              <w:ind w:firstLine="0" w:firstLineChars="0"/>
              <w:jc w:val="center"/>
              <w:rPr>
                <w:rFonts w:hint="default" w:ascii="Times New Roman" w:hAnsi="Times New Roman" w:cs="Times New Roman"/>
                <w:color w:val="auto"/>
                <w:sz w:val="24"/>
                <w:szCs w:val="24"/>
                <w:lang w:val="en-US" w:eastAsia="zh-CN"/>
              </w:rPr>
            </w:pPr>
            <w:r>
              <w:rPr>
                <w:rFonts w:hint="default" w:ascii="Times New Roman" w:hAnsi="Times New Roman" w:cs="Times New Roman"/>
                <w:sz w:val="24"/>
                <w:szCs w:val="24"/>
              </w:rPr>
              <w:t>万m</w:t>
            </w:r>
            <w:r>
              <w:rPr>
                <w:rFonts w:hint="default" w:ascii="Times New Roman" w:hAnsi="Times New Roman" w:cs="Times New Roman"/>
                <w:sz w:val="24"/>
                <w:szCs w:val="24"/>
                <w:vertAlign w:val="superscript"/>
              </w:rPr>
              <w:t>3</w:t>
            </w:r>
          </w:p>
        </w:tc>
        <w:tc>
          <w:tcPr>
            <w:tcW w:w="725" w:type="pct"/>
            <w:tcBorders>
              <w:tl2br w:val="nil"/>
              <w:tr2bl w:val="nil"/>
            </w:tcBorders>
            <w:vAlign w:val="center"/>
          </w:tcPr>
          <w:p w14:paraId="04D678C3">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sz w:val="24"/>
                <w:szCs w:val="24"/>
                <w:lang w:val="en-US" w:eastAsia="zh-CN"/>
              </w:rPr>
            </w:pPr>
            <w:r>
              <w:rPr>
                <w:rFonts w:hint="eastAsia"/>
                <w:color w:val="auto"/>
                <w:sz w:val="24"/>
                <w:szCs w:val="24"/>
                <w:lang w:val="en-US" w:eastAsia="zh-CN"/>
              </w:rPr>
              <w:t>0.023</w:t>
            </w:r>
          </w:p>
        </w:tc>
        <w:tc>
          <w:tcPr>
            <w:tcW w:w="840" w:type="pct"/>
            <w:tcBorders>
              <w:tl2br w:val="nil"/>
              <w:tr2bl w:val="nil"/>
            </w:tcBorders>
            <w:vAlign w:val="center"/>
          </w:tcPr>
          <w:p w14:paraId="0915B16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仿宋_GB2312" w:cs="Times New Roman"/>
                <w:color w:val="auto"/>
                <w:kern w:val="2"/>
                <w:sz w:val="24"/>
                <w:szCs w:val="24"/>
                <w:lang w:val="en-US" w:eastAsia="zh-CN" w:bidi="ar-SA"/>
              </w:rPr>
            </w:pPr>
            <w:r>
              <w:rPr>
                <w:rFonts w:hint="eastAsia"/>
                <w:sz w:val="24"/>
                <w:szCs w:val="24"/>
                <w:lang w:val="en-US" w:eastAsia="zh-CN"/>
              </w:rPr>
              <w:t>0</w:t>
            </w:r>
          </w:p>
        </w:tc>
        <w:tc>
          <w:tcPr>
            <w:tcW w:w="1205" w:type="pct"/>
            <w:tcBorders>
              <w:tl2br w:val="nil"/>
              <w:tr2bl w:val="nil"/>
            </w:tcBorders>
            <w:vAlign w:val="center"/>
          </w:tcPr>
          <w:p w14:paraId="470D7475">
            <w:pPr>
              <w:pStyle w:val="18"/>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cs="Times New Roman"/>
                <w:color w:val="auto"/>
                <w:lang w:val="en-US" w:eastAsia="zh-CN"/>
              </w:rPr>
              <w:t>-0.023</w:t>
            </w:r>
          </w:p>
        </w:tc>
      </w:tr>
    </w:tbl>
    <w:p w14:paraId="7D6900C0">
      <w:pPr>
        <w:pStyle w:val="4"/>
        <w:widowControl/>
        <w:rPr>
          <w:rFonts w:eastAsia="仿宋"/>
          <w:color w:val="auto"/>
          <w:kern w:val="0"/>
        </w:rPr>
      </w:pPr>
      <w:r>
        <w:rPr>
          <w:rFonts w:eastAsia="仿宋"/>
          <w:color w:val="auto"/>
          <w:kern w:val="0"/>
        </w:rPr>
        <w:t>3.5.2植物措施监测结果</w:t>
      </w:r>
      <w:bookmarkEnd w:id="62"/>
    </w:p>
    <w:p w14:paraId="73DEF7D1">
      <w:pPr>
        <w:pStyle w:val="5"/>
        <w:widowControl/>
        <w:rPr>
          <w:rFonts w:eastAsia="仿宋"/>
          <w:color w:val="auto"/>
          <w:kern w:val="0"/>
        </w:rPr>
      </w:pPr>
      <w:r>
        <w:rPr>
          <w:rFonts w:eastAsia="仿宋"/>
          <w:color w:val="auto"/>
          <w:kern w:val="0"/>
        </w:rPr>
        <w:t>3.5.2.1主体工程防治区</w:t>
      </w:r>
    </w:p>
    <w:p w14:paraId="08FC457E">
      <w:pPr>
        <w:keepNext w:val="0"/>
        <w:keepLines w:val="0"/>
        <w:pageBreakBefore w:val="0"/>
        <w:widowControl w:val="0"/>
        <w:kinsoku/>
        <w:wordWrap/>
        <w:overflowPunct/>
        <w:topLinePunct w:val="0"/>
        <w:autoSpaceDE/>
        <w:autoSpaceDN/>
        <w:bidi w:val="0"/>
        <w:adjustRightInd/>
        <w:snapToGrid/>
        <w:ind w:firstLine="560"/>
        <w:textAlignment w:val="auto"/>
        <w:rPr>
          <w:color w:val="auto"/>
        </w:rPr>
      </w:pPr>
      <w:r>
        <w:rPr>
          <w:bCs/>
          <w:color w:val="auto"/>
          <w:szCs w:val="28"/>
        </w:rPr>
        <w:t>根据现场核查，</w:t>
      </w:r>
      <w:r>
        <w:rPr>
          <w:rFonts w:hint="eastAsia"/>
          <w:bCs/>
          <w:color w:val="auto"/>
          <w:szCs w:val="28"/>
        </w:rPr>
        <w:t>主体工程</w:t>
      </w:r>
      <w:r>
        <w:rPr>
          <w:rFonts w:hint="eastAsia"/>
          <w:color w:val="auto"/>
        </w:rPr>
        <w:t>绿地面积</w:t>
      </w:r>
      <w:r>
        <w:rPr>
          <w:rFonts w:hint="eastAsia"/>
          <w:color w:val="auto"/>
          <w:lang w:val="en-US" w:eastAsia="zh-CN"/>
        </w:rPr>
        <w:t>0.80h</w:t>
      </w:r>
      <w:r>
        <w:rPr>
          <w:rFonts w:hint="eastAsia"/>
          <w:color w:val="auto"/>
        </w:rPr>
        <w:t>m</w:t>
      </w:r>
      <w:r>
        <w:rPr>
          <w:rFonts w:hint="eastAsia"/>
          <w:color w:val="auto"/>
          <w:vertAlign w:val="superscript"/>
        </w:rPr>
        <w:t>2</w:t>
      </w:r>
      <w:r>
        <w:rPr>
          <w:rFonts w:hint="eastAsia"/>
          <w:color w:val="auto"/>
        </w:rPr>
        <w:t>，</w:t>
      </w:r>
      <w:r>
        <w:rPr>
          <w:bCs/>
          <w:color w:val="auto"/>
          <w:szCs w:val="28"/>
        </w:rPr>
        <w:t>既美化环境，又提高绿地覆盖率，减少土壤流失量。与水土保持方案设计相比，景观绿化面积不变。</w:t>
      </w:r>
    </w:p>
    <w:p w14:paraId="55FA090F">
      <w:pPr>
        <w:pStyle w:val="20"/>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4</w:t>
      </w:r>
      <w:r>
        <w:rPr>
          <w:color w:val="auto"/>
        </w:rPr>
        <w:t xml:space="preserve"> 主体工程</w:t>
      </w:r>
      <w:r>
        <w:rPr>
          <w:rFonts w:hint="eastAsia"/>
          <w:color w:val="auto"/>
          <w:lang w:val="en-US" w:eastAsia="zh-CN"/>
        </w:rPr>
        <w:t>防治区</w:t>
      </w:r>
      <w:r>
        <w:rPr>
          <w:rFonts w:hint="eastAsia"/>
          <w:color w:val="auto"/>
        </w:rPr>
        <w:t>植物</w:t>
      </w:r>
      <w:r>
        <w:rPr>
          <w:color w:val="auto"/>
        </w:rPr>
        <w:t>措施情况表</w:t>
      </w:r>
    </w:p>
    <w:tbl>
      <w:tblPr>
        <w:tblStyle w:val="1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919"/>
        <w:gridCol w:w="820"/>
        <w:gridCol w:w="1935"/>
        <w:gridCol w:w="1939"/>
        <w:gridCol w:w="1414"/>
      </w:tblGrid>
      <w:tr w14:paraId="1194F2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31A6ADC6">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序号</w:t>
            </w:r>
          </w:p>
        </w:tc>
        <w:tc>
          <w:tcPr>
            <w:tcW w:w="1072" w:type="pct"/>
            <w:tcBorders>
              <w:tl2br w:val="nil"/>
              <w:tr2bl w:val="nil"/>
            </w:tcBorders>
            <w:vAlign w:val="center"/>
          </w:tcPr>
          <w:p w14:paraId="65D95CE4">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措施名称</w:t>
            </w:r>
          </w:p>
        </w:tc>
        <w:tc>
          <w:tcPr>
            <w:tcW w:w="458" w:type="pct"/>
            <w:tcBorders>
              <w:tl2br w:val="nil"/>
              <w:tr2bl w:val="nil"/>
            </w:tcBorders>
            <w:vAlign w:val="center"/>
          </w:tcPr>
          <w:p w14:paraId="5DE1CF21">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单位</w:t>
            </w:r>
          </w:p>
        </w:tc>
        <w:tc>
          <w:tcPr>
            <w:tcW w:w="1081" w:type="pct"/>
            <w:tcBorders>
              <w:tl2br w:val="nil"/>
              <w:tr2bl w:val="nil"/>
            </w:tcBorders>
            <w:vAlign w:val="center"/>
          </w:tcPr>
          <w:p w14:paraId="11A5A2A6">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方案设计工程量</w:t>
            </w:r>
          </w:p>
        </w:tc>
        <w:tc>
          <w:tcPr>
            <w:tcW w:w="1083" w:type="pct"/>
            <w:tcBorders>
              <w:tl2br w:val="nil"/>
              <w:tr2bl w:val="nil"/>
            </w:tcBorders>
            <w:vAlign w:val="center"/>
          </w:tcPr>
          <w:p w14:paraId="54138647">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实际完成工程量</w:t>
            </w:r>
          </w:p>
        </w:tc>
        <w:tc>
          <w:tcPr>
            <w:tcW w:w="790" w:type="pct"/>
            <w:tcBorders>
              <w:tl2br w:val="nil"/>
              <w:tr2bl w:val="nil"/>
            </w:tcBorders>
            <w:vAlign w:val="center"/>
          </w:tcPr>
          <w:p w14:paraId="1E6805DA">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实际与方案比较（+/-）</w:t>
            </w:r>
          </w:p>
        </w:tc>
      </w:tr>
      <w:tr w14:paraId="3B0177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2BCF429F">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1</w:t>
            </w:r>
          </w:p>
        </w:tc>
        <w:tc>
          <w:tcPr>
            <w:tcW w:w="1072" w:type="pct"/>
            <w:tcBorders>
              <w:tl2br w:val="nil"/>
              <w:tr2bl w:val="nil"/>
            </w:tcBorders>
            <w:vAlign w:val="center"/>
          </w:tcPr>
          <w:p w14:paraId="10B0A52A">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景观绿化</w:t>
            </w:r>
          </w:p>
        </w:tc>
        <w:tc>
          <w:tcPr>
            <w:tcW w:w="458" w:type="pct"/>
            <w:tcBorders>
              <w:tl2br w:val="nil"/>
              <w:tr2bl w:val="nil"/>
            </w:tcBorders>
            <w:vAlign w:val="center"/>
          </w:tcPr>
          <w:p w14:paraId="1E33F7BE">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rFonts w:hint="eastAsia"/>
                <w:color w:val="auto"/>
                <w:lang w:val="en-US" w:eastAsia="zh-CN"/>
              </w:rPr>
              <w:t>h</w:t>
            </w:r>
            <w:r>
              <w:rPr>
                <w:color w:val="auto"/>
              </w:rPr>
              <w:t>m</w:t>
            </w:r>
            <w:r>
              <w:rPr>
                <w:color w:val="auto"/>
                <w:vertAlign w:val="superscript"/>
              </w:rPr>
              <w:t>2</w:t>
            </w:r>
          </w:p>
        </w:tc>
        <w:tc>
          <w:tcPr>
            <w:tcW w:w="1081" w:type="pct"/>
            <w:tcBorders>
              <w:tl2br w:val="nil"/>
              <w:tr2bl w:val="nil"/>
            </w:tcBorders>
            <w:vAlign w:val="center"/>
          </w:tcPr>
          <w:p w14:paraId="1571193E">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0.80</w:t>
            </w:r>
          </w:p>
        </w:tc>
        <w:tc>
          <w:tcPr>
            <w:tcW w:w="1083" w:type="pct"/>
            <w:tcBorders>
              <w:tl2br w:val="nil"/>
              <w:tr2bl w:val="nil"/>
            </w:tcBorders>
            <w:vAlign w:val="center"/>
          </w:tcPr>
          <w:p w14:paraId="773E0EB9">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0.80</w:t>
            </w:r>
          </w:p>
        </w:tc>
        <w:tc>
          <w:tcPr>
            <w:tcW w:w="790" w:type="pct"/>
            <w:tcBorders>
              <w:tl2br w:val="nil"/>
              <w:tr2bl w:val="nil"/>
            </w:tcBorders>
            <w:vAlign w:val="center"/>
          </w:tcPr>
          <w:p w14:paraId="361755B2">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rFonts w:hint="eastAsia"/>
                <w:color w:val="auto"/>
              </w:rPr>
              <w:t>0</w:t>
            </w:r>
          </w:p>
        </w:tc>
      </w:tr>
    </w:tbl>
    <w:p w14:paraId="0DD32B2B">
      <w:pPr>
        <w:pStyle w:val="5"/>
        <w:widowControl/>
        <w:rPr>
          <w:rFonts w:eastAsia="仿宋"/>
          <w:color w:val="auto"/>
          <w:kern w:val="0"/>
        </w:rPr>
      </w:pPr>
      <w:bookmarkStart w:id="63" w:name="_Toc8784"/>
      <w:r>
        <w:rPr>
          <w:rFonts w:eastAsia="仿宋"/>
          <w:color w:val="auto"/>
          <w:kern w:val="0"/>
        </w:rPr>
        <w:t>3.5.2.</w:t>
      </w:r>
      <w:r>
        <w:rPr>
          <w:rFonts w:hint="eastAsia" w:eastAsia="仿宋"/>
          <w:color w:val="auto"/>
          <w:kern w:val="0"/>
          <w:lang w:val="en-US" w:eastAsia="zh-CN"/>
        </w:rPr>
        <w:t>2施工便道</w:t>
      </w:r>
      <w:r>
        <w:rPr>
          <w:rFonts w:eastAsia="仿宋"/>
          <w:color w:val="auto"/>
          <w:kern w:val="0"/>
        </w:rPr>
        <w:t>防治区</w:t>
      </w:r>
    </w:p>
    <w:p w14:paraId="349A7CB2">
      <w:pPr>
        <w:keepNext w:val="0"/>
        <w:keepLines w:val="0"/>
        <w:pageBreakBefore w:val="0"/>
        <w:widowControl w:val="0"/>
        <w:kinsoku/>
        <w:wordWrap/>
        <w:overflowPunct/>
        <w:topLinePunct w:val="0"/>
        <w:autoSpaceDE/>
        <w:autoSpaceDN/>
        <w:bidi w:val="0"/>
        <w:adjustRightInd/>
        <w:snapToGrid/>
        <w:ind w:firstLine="560"/>
        <w:textAlignment w:val="auto"/>
        <w:rPr>
          <w:color w:val="auto"/>
        </w:rPr>
      </w:pPr>
      <w:r>
        <w:rPr>
          <w:bCs/>
          <w:color w:val="auto"/>
          <w:szCs w:val="28"/>
        </w:rPr>
        <w:t>根据现场核查，</w:t>
      </w:r>
      <w:r>
        <w:rPr>
          <w:rFonts w:hint="eastAsia"/>
          <w:bCs/>
          <w:color w:val="auto"/>
          <w:szCs w:val="28"/>
          <w:lang w:val="en-US" w:eastAsia="zh-CN"/>
        </w:rPr>
        <w:t>红线外的施工便道用地撒播狗牙根草籽0.02</w:t>
      </w:r>
      <w:r>
        <w:rPr>
          <w:rFonts w:hint="eastAsia"/>
          <w:color w:val="auto"/>
          <w:lang w:val="en-US" w:eastAsia="zh-CN"/>
        </w:rPr>
        <w:t>h</w:t>
      </w:r>
      <w:r>
        <w:rPr>
          <w:rFonts w:hint="eastAsia"/>
          <w:color w:val="auto"/>
        </w:rPr>
        <w:t>m</w:t>
      </w:r>
      <w:r>
        <w:rPr>
          <w:rFonts w:hint="eastAsia"/>
          <w:color w:val="auto"/>
          <w:vertAlign w:val="superscript"/>
        </w:rPr>
        <w:t>2</w:t>
      </w:r>
      <w:r>
        <w:rPr>
          <w:rFonts w:hint="eastAsia"/>
          <w:color w:val="auto"/>
        </w:rPr>
        <w:t>，</w:t>
      </w:r>
      <w:r>
        <w:rPr>
          <w:bCs/>
          <w:color w:val="auto"/>
          <w:szCs w:val="28"/>
        </w:rPr>
        <w:t>减少土壤流失量。与水土保持方案设计相比，</w:t>
      </w:r>
      <w:r>
        <w:rPr>
          <w:rFonts w:hint="eastAsia"/>
          <w:bCs/>
          <w:color w:val="auto"/>
          <w:szCs w:val="28"/>
          <w:lang w:val="en-US" w:eastAsia="zh-CN"/>
        </w:rPr>
        <w:t>撒播狗牙根草籽</w:t>
      </w:r>
      <w:r>
        <w:rPr>
          <w:bCs/>
          <w:color w:val="auto"/>
          <w:szCs w:val="28"/>
        </w:rPr>
        <w:t>面积不变。</w:t>
      </w:r>
    </w:p>
    <w:p w14:paraId="20E67A85">
      <w:pPr>
        <w:pStyle w:val="20"/>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5</w:t>
      </w:r>
      <w:r>
        <w:rPr>
          <w:color w:val="auto"/>
        </w:rPr>
        <w:t xml:space="preserve"> </w:t>
      </w:r>
      <w:r>
        <w:rPr>
          <w:rFonts w:hint="eastAsia"/>
          <w:color w:val="auto"/>
          <w:lang w:val="en-US" w:eastAsia="zh-CN"/>
        </w:rPr>
        <w:t>施工便道防治区</w:t>
      </w:r>
      <w:r>
        <w:rPr>
          <w:rFonts w:hint="eastAsia"/>
          <w:color w:val="auto"/>
        </w:rPr>
        <w:t>植物</w:t>
      </w:r>
      <w:r>
        <w:rPr>
          <w:color w:val="auto"/>
        </w:rPr>
        <w:t>措施情况表</w:t>
      </w:r>
    </w:p>
    <w:tbl>
      <w:tblPr>
        <w:tblStyle w:val="1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919"/>
        <w:gridCol w:w="820"/>
        <w:gridCol w:w="1935"/>
        <w:gridCol w:w="1939"/>
        <w:gridCol w:w="1414"/>
      </w:tblGrid>
      <w:tr w14:paraId="76A2A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62B9EC81">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序号</w:t>
            </w:r>
          </w:p>
        </w:tc>
        <w:tc>
          <w:tcPr>
            <w:tcW w:w="1072" w:type="pct"/>
            <w:tcBorders>
              <w:tl2br w:val="nil"/>
              <w:tr2bl w:val="nil"/>
            </w:tcBorders>
            <w:vAlign w:val="center"/>
          </w:tcPr>
          <w:p w14:paraId="3D20354A">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措施名称</w:t>
            </w:r>
          </w:p>
        </w:tc>
        <w:tc>
          <w:tcPr>
            <w:tcW w:w="458" w:type="pct"/>
            <w:tcBorders>
              <w:tl2br w:val="nil"/>
              <w:tr2bl w:val="nil"/>
            </w:tcBorders>
            <w:vAlign w:val="center"/>
          </w:tcPr>
          <w:p w14:paraId="10F4F1BB">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单位</w:t>
            </w:r>
          </w:p>
        </w:tc>
        <w:tc>
          <w:tcPr>
            <w:tcW w:w="1081" w:type="pct"/>
            <w:tcBorders>
              <w:tl2br w:val="nil"/>
              <w:tr2bl w:val="nil"/>
            </w:tcBorders>
            <w:vAlign w:val="center"/>
          </w:tcPr>
          <w:p w14:paraId="2C1DF031">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方案设计工程量</w:t>
            </w:r>
          </w:p>
        </w:tc>
        <w:tc>
          <w:tcPr>
            <w:tcW w:w="1083" w:type="pct"/>
            <w:tcBorders>
              <w:tl2br w:val="nil"/>
              <w:tr2bl w:val="nil"/>
            </w:tcBorders>
            <w:vAlign w:val="center"/>
          </w:tcPr>
          <w:p w14:paraId="10F344ED">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实际完成工程量</w:t>
            </w:r>
          </w:p>
        </w:tc>
        <w:tc>
          <w:tcPr>
            <w:tcW w:w="790" w:type="pct"/>
            <w:tcBorders>
              <w:tl2br w:val="nil"/>
              <w:tr2bl w:val="nil"/>
            </w:tcBorders>
            <w:vAlign w:val="center"/>
          </w:tcPr>
          <w:p w14:paraId="3732B38A">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实际与方案比较（+/-）</w:t>
            </w:r>
          </w:p>
        </w:tc>
      </w:tr>
      <w:tr w14:paraId="262C9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42DF2210">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1</w:t>
            </w:r>
          </w:p>
        </w:tc>
        <w:tc>
          <w:tcPr>
            <w:tcW w:w="1072" w:type="pct"/>
            <w:tcBorders>
              <w:tl2br w:val="nil"/>
              <w:tr2bl w:val="nil"/>
            </w:tcBorders>
            <w:vAlign w:val="center"/>
          </w:tcPr>
          <w:p w14:paraId="1C73B012">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撒播狗牙根草籽</w:t>
            </w:r>
          </w:p>
        </w:tc>
        <w:tc>
          <w:tcPr>
            <w:tcW w:w="458" w:type="pct"/>
            <w:tcBorders>
              <w:tl2br w:val="nil"/>
              <w:tr2bl w:val="nil"/>
            </w:tcBorders>
            <w:vAlign w:val="center"/>
          </w:tcPr>
          <w:p w14:paraId="21388180">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rFonts w:hint="eastAsia"/>
                <w:color w:val="auto"/>
                <w:lang w:val="en-US" w:eastAsia="zh-CN"/>
              </w:rPr>
              <w:t>h</w:t>
            </w:r>
            <w:r>
              <w:rPr>
                <w:color w:val="auto"/>
              </w:rPr>
              <w:t>m</w:t>
            </w:r>
            <w:r>
              <w:rPr>
                <w:color w:val="auto"/>
                <w:vertAlign w:val="superscript"/>
              </w:rPr>
              <w:t>2</w:t>
            </w:r>
          </w:p>
        </w:tc>
        <w:tc>
          <w:tcPr>
            <w:tcW w:w="1081" w:type="pct"/>
            <w:tcBorders>
              <w:tl2br w:val="nil"/>
              <w:tr2bl w:val="nil"/>
            </w:tcBorders>
            <w:vAlign w:val="center"/>
          </w:tcPr>
          <w:p w14:paraId="05228795">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0.02</w:t>
            </w:r>
          </w:p>
        </w:tc>
        <w:tc>
          <w:tcPr>
            <w:tcW w:w="1083" w:type="pct"/>
            <w:tcBorders>
              <w:tl2br w:val="nil"/>
              <w:tr2bl w:val="nil"/>
            </w:tcBorders>
            <w:vAlign w:val="center"/>
          </w:tcPr>
          <w:p w14:paraId="36F4778F">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0.02</w:t>
            </w:r>
          </w:p>
        </w:tc>
        <w:tc>
          <w:tcPr>
            <w:tcW w:w="790" w:type="pct"/>
            <w:tcBorders>
              <w:tl2br w:val="nil"/>
              <w:tr2bl w:val="nil"/>
            </w:tcBorders>
            <w:vAlign w:val="center"/>
          </w:tcPr>
          <w:p w14:paraId="4DF1E8EB">
            <w:pPr>
              <w:pStyle w:val="18"/>
              <w:keepNext w:val="0"/>
              <w:keepLines w:val="0"/>
              <w:pageBreakBefore w:val="0"/>
              <w:widowControl w:val="0"/>
              <w:kinsoku/>
              <w:wordWrap/>
              <w:overflowPunct/>
              <w:topLinePunct w:val="0"/>
              <w:autoSpaceDE/>
              <w:autoSpaceDN/>
              <w:bidi w:val="0"/>
              <w:adjustRightInd/>
              <w:snapToGrid/>
              <w:textAlignment w:val="auto"/>
              <w:rPr>
                <w:color w:val="auto"/>
              </w:rPr>
            </w:pPr>
            <w:r>
              <w:rPr>
                <w:rFonts w:hint="eastAsia"/>
                <w:color w:val="auto"/>
              </w:rPr>
              <w:t>0</w:t>
            </w:r>
          </w:p>
        </w:tc>
      </w:tr>
    </w:tbl>
    <w:p w14:paraId="382D7CA9">
      <w:pPr>
        <w:pStyle w:val="5"/>
        <w:widowControl/>
        <w:rPr>
          <w:rFonts w:eastAsia="仿宋"/>
          <w:color w:val="auto"/>
          <w:kern w:val="0"/>
        </w:rPr>
      </w:pPr>
      <w:r>
        <w:rPr>
          <w:rFonts w:eastAsia="仿宋"/>
          <w:color w:val="auto"/>
          <w:kern w:val="0"/>
        </w:rPr>
        <w:t>3.5.2.</w:t>
      </w:r>
      <w:r>
        <w:rPr>
          <w:rFonts w:hint="eastAsia" w:eastAsia="仿宋"/>
          <w:color w:val="auto"/>
          <w:kern w:val="0"/>
          <w:lang w:val="en-US" w:eastAsia="zh-CN"/>
        </w:rPr>
        <w:t>3施工生产生活区</w:t>
      </w:r>
      <w:r>
        <w:rPr>
          <w:rFonts w:eastAsia="仿宋"/>
          <w:color w:val="auto"/>
          <w:kern w:val="0"/>
        </w:rPr>
        <w:t>防治区</w:t>
      </w:r>
    </w:p>
    <w:p w14:paraId="0F532F42">
      <w:pPr>
        <w:keepNext w:val="0"/>
        <w:keepLines w:val="0"/>
        <w:pageBreakBefore w:val="0"/>
        <w:widowControl w:val="0"/>
        <w:kinsoku/>
        <w:wordWrap/>
        <w:overflowPunct/>
        <w:topLinePunct w:val="0"/>
        <w:autoSpaceDE/>
        <w:autoSpaceDN/>
        <w:bidi w:val="0"/>
        <w:adjustRightInd/>
        <w:snapToGrid/>
        <w:ind w:firstLine="560"/>
        <w:textAlignment w:val="auto"/>
        <w:rPr>
          <w:rFonts w:hint="default" w:eastAsia="仿宋_GB2312"/>
          <w:color w:val="auto"/>
          <w:lang w:val="en-US" w:eastAsia="zh-CN"/>
        </w:rPr>
      </w:pPr>
      <w:r>
        <w:rPr>
          <w:bCs/>
          <w:color w:val="auto"/>
          <w:szCs w:val="28"/>
        </w:rPr>
        <w:t>根据现场核查，</w:t>
      </w:r>
      <w:r>
        <w:rPr>
          <w:rFonts w:hint="eastAsia"/>
          <w:bCs/>
          <w:color w:val="auto"/>
          <w:szCs w:val="28"/>
          <w:lang w:val="en-US" w:eastAsia="zh-CN"/>
        </w:rPr>
        <w:t>施工生产生活区临时绿化</w:t>
      </w:r>
      <w:r>
        <w:rPr>
          <w:rFonts w:hint="eastAsia"/>
          <w:color w:val="auto"/>
        </w:rPr>
        <w:t>面积</w:t>
      </w:r>
      <w:r>
        <w:rPr>
          <w:rFonts w:hint="eastAsia"/>
          <w:color w:val="auto"/>
          <w:lang w:val="en-US" w:eastAsia="zh-CN"/>
        </w:rPr>
        <w:t>0.03h</w:t>
      </w:r>
      <w:r>
        <w:rPr>
          <w:rFonts w:hint="eastAsia"/>
          <w:color w:val="auto"/>
        </w:rPr>
        <w:t>m</w:t>
      </w:r>
      <w:r>
        <w:rPr>
          <w:rFonts w:hint="eastAsia"/>
          <w:color w:val="auto"/>
          <w:vertAlign w:val="superscript"/>
        </w:rPr>
        <w:t>2</w:t>
      </w:r>
      <w:r>
        <w:rPr>
          <w:rFonts w:hint="eastAsia"/>
          <w:color w:val="auto"/>
        </w:rPr>
        <w:t>，</w:t>
      </w:r>
      <w:r>
        <w:rPr>
          <w:bCs/>
          <w:color w:val="auto"/>
          <w:szCs w:val="28"/>
        </w:rPr>
        <w:t>与水土保持方案设计相比，</w:t>
      </w:r>
      <w:r>
        <w:rPr>
          <w:rFonts w:hint="eastAsia"/>
          <w:bCs/>
          <w:color w:val="auto"/>
          <w:szCs w:val="28"/>
          <w:lang w:val="en-US" w:eastAsia="zh-CN"/>
        </w:rPr>
        <w:t>临时</w:t>
      </w:r>
      <w:r>
        <w:rPr>
          <w:bCs/>
          <w:color w:val="auto"/>
          <w:szCs w:val="28"/>
        </w:rPr>
        <w:t>绿化面积不变</w:t>
      </w:r>
      <w:r>
        <w:rPr>
          <w:rFonts w:hint="eastAsia"/>
          <w:bCs/>
          <w:color w:val="auto"/>
          <w:szCs w:val="28"/>
          <w:lang w:eastAsia="zh-CN"/>
        </w:rPr>
        <w:t>；</w:t>
      </w:r>
      <w:r>
        <w:rPr>
          <w:rFonts w:hint="eastAsia"/>
          <w:bCs/>
          <w:color w:val="auto"/>
          <w:szCs w:val="28"/>
          <w:lang w:val="en-US" w:eastAsia="zh-CN"/>
        </w:rPr>
        <w:t>该区域拆除后归还原嘉达纺织厂地北侧规划路道路工程建设单位建设使用，不做任何绿化恢复措施。</w:t>
      </w:r>
    </w:p>
    <w:p w14:paraId="355B9860">
      <w:pPr>
        <w:pStyle w:val="20"/>
        <w:keepNext w:val="0"/>
        <w:keepLines w:val="0"/>
        <w:pageBreakBefore w:val="0"/>
        <w:widowControl w:val="0"/>
        <w:kinsoku/>
        <w:wordWrap/>
        <w:overflowPunct/>
        <w:topLinePunct w:val="0"/>
        <w:autoSpaceDE/>
        <w:autoSpaceDN/>
        <w:bidi w:val="0"/>
        <w:adjustRightInd/>
        <w:snapToGrid/>
        <w:textAlignment w:val="auto"/>
        <w:rPr>
          <w:color w:val="auto"/>
        </w:rPr>
      </w:pPr>
      <w:r>
        <w:rPr>
          <w:color w:val="auto"/>
        </w:rPr>
        <w:t>表</w:t>
      </w:r>
      <w:r>
        <w:rPr>
          <w:rFonts w:hint="eastAsia"/>
          <w:color w:val="auto"/>
        </w:rPr>
        <w:t>3</w:t>
      </w:r>
      <w:r>
        <w:rPr>
          <w:rFonts w:hint="eastAsia"/>
          <w:color w:val="auto"/>
          <w:lang w:val="en-US" w:eastAsia="zh-CN"/>
        </w:rPr>
        <w:t>.5</w:t>
      </w:r>
      <w:r>
        <w:rPr>
          <w:rFonts w:hint="eastAsia"/>
          <w:color w:val="auto"/>
        </w:rPr>
        <w:t>-</w:t>
      </w:r>
      <w:r>
        <w:rPr>
          <w:rFonts w:hint="eastAsia"/>
          <w:color w:val="auto"/>
          <w:lang w:val="en-US" w:eastAsia="zh-CN"/>
        </w:rPr>
        <w:t>6</w:t>
      </w:r>
      <w:r>
        <w:rPr>
          <w:color w:val="auto"/>
        </w:rPr>
        <w:t xml:space="preserve"> </w:t>
      </w:r>
      <w:r>
        <w:rPr>
          <w:rFonts w:hint="eastAsia"/>
          <w:color w:val="auto"/>
          <w:lang w:val="en-US" w:eastAsia="zh-CN"/>
        </w:rPr>
        <w:t>施工生产生活防治区</w:t>
      </w:r>
      <w:r>
        <w:rPr>
          <w:rFonts w:hint="eastAsia"/>
          <w:color w:val="auto"/>
        </w:rPr>
        <w:t>植物</w:t>
      </w:r>
      <w:r>
        <w:rPr>
          <w:color w:val="auto"/>
        </w:rPr>
        <w:t>措施情况表</w:t>
      </w:r>
    </w:p>
    <w:tbl>
      <w:tblPr>
        <w:tblStyle w:val="1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919"/>
        <w:gridCol w:w="820"/>
        <w:gridCol w:w="1935"/>
        <w:gridCol w:w="1939"/>
        <w:gridCol w:w="1414"/>
      </w:tblGrid>
      <w:tr w14:paraId="0EBC05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4" w:type="pct"/>
            <w:tcBorders>
              <w:tl2br w:val="nil"/>
              <w:tr2bl w:val="nil"/>
            </w:tcBorders>
            <w:vAlign w:val="center"/>
          </w:tcPr>
          <w:p w14:paraId="0482D374">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序号</w:t>
            </w:r>
          </w:p>
        </w:tc>
        <w:tc>
          <w:tcPr>
            <w:tcW w:w="1072" w:type="pct"/>
            <w:tcBorders>
              <w:tl2br w:val="nil"/>
              <w:tr2bl w:val="nil"/>
            </w:tcBorders>
            <w:vAlign w:val="center"/>
          </w:tcPr>
          <w:p w14:paraId="734E9B8B">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措施名称</w:t>
            </w:r>
          </w:p>
        </w:tc>
        <w:tc>
          <w:tcPr>
            <w:tcW w:w="458" w:type="pct"/>
            <w:tcBorders>
              <w:tl2br w:val="nil"/>
              <w:tr2bl w:val="nil"/>
            </w:tcBorders>
            <w:vAlign w:val="center"/>
          </w:tcPr>
          <w:p w14:paraId="26759E39">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单位</w:t>
            </w:r>
          </w:p>
        </w:tc>
        <w:tc>
          <w:tcPr>
            <w:tcW w:w="1081" w:type="pct"/>
            <w:tcBorders>
              <w:tl2br w:val="nil"/>
              <w:tr2bl w:val="nil"/>
            </w:tcBorders>
            <w:vAlign w:val="center"/>
          </w:tcPr>
          <w:p w14:paraId="1F086F39">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方案设计工程量</w:t>
            </w:r>
          </w:p>
        </w:tc>
        <w:tc>
          <w:tcPr>
            <w:tcW w:w="1083" w:type="pct"/>
            <w:tcBorders>
              <w:tl2br w:val="nil"/>
              <w:tr2bl w:val="nil"/>
            </w:tcBorders>
            <w:vAlign w:val="center"/>
          </w:tcPr>
          <w:p w14:paraId="26B01BB4">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实际完成工程量</w:t>
            </w:r>
          </w:p>
        </w:tc>
        <w:tc>
          <w:tcPr>
            <w:tcW w:w="790" w:type="pct"/>
            <w:tcBorders>
              <w:tl2br w:val="nil"/>
              <w:tr2bl w:val="nil"/>
            </w:tcBorders>
            <w:vAlign w:val="center"/>
          </w:tcPr>
          <w:p w14:paraId="261A5C47">
            <w:pPr>
              <w:pStyle w:val="18"/>
              <w:keepNext w:val="0"/>
              <w:keepLines w:val="0"/>
              <w:pageBreakBefore w:val="0"/>
              <w:widowControl w:val="0"/>
              <w:kinsoku/>
              <w:wordWrap/>
              <w:overflowPunct/>
              <w:topLinePunct w:val="0"/>
              <w:autoSpaceDE/>
              <w:autoSpaceDN/>
              <w:bidi w:val="0"/>
              <w:adjustRightInd/>
              <w:snapToGrid/>
              <w:textAlignment w:val="auto"/>
              <w:rPr>
                <w:b/>
                <w:bCs/>
                <w:color w:val="auto"/>
              </w:rPr>
            </w:pPr>
            <w:r>
              <w:rPr>
                <w:b/>
                <w:bCs/>
                <w:color w:val="auto"/>
              </w:rPr>
              <w:t>实际与方案比较（+/-）</w:t>
            </w:r>
          </w:p>
        </w:tc>
      </w:tr>
      <w:tr w14:paraId="7A88C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0" w:type="dxa"/>
            <w:tcBorders>
              <w:tl2br w:val="nil"/>
              <w:tr2bl w:val="nil"/>
            </w:tcBorders>
            <w:vAlign w:val="center"/>
          </w:tcPr>
          <w:p w14:paraId="70D4283E">
            <w:pPr>
              <w:pStyle w:val="18"/>
              <w:ind w:firstLine="0" w:firstLineChars="0"/>
              <w:rPr>
                <w:color w:val="auto"/>
              </w:rPr>
            </w:pPr>
            <w:r>
              <w:rPr>
                <w:rFonts w:hint="eastAsia"/>
                <w:color w:val="auto"/>
                <w:lang w:val="en-US" w:eastAsia="zh-CN"/>
              </w:rPr>
              <w:t>1</w:t>
            </w:r>
          </w:p>
        </w:tc>
        <w:tc>
          <w:tcPr>
            <w:tcW w:w="1919" w:type="dxa"/>
            <w:tcBorders>
              <w:tl2br w:val="nil"/>
              <w:tr2bl w:val="nil"/>
            </w:tcBorders>
            <w:vAlign w:val="center"/>
          </w:tcPr>
          <w:p w14:paraId="21CD6561">
            <w:pPr>
              <w:pStyle w:val="18"/>
              <w:ind w:firstLine="0" w:firstLineChars="0"/>
              <w:rPr>
                <w:color w:val="auto"/>
              </w:rPr>
            </w:pPr>
            <w:r>
              <w:rPr>
                <w:rFonts w:hint="eastAsia"/>
                <w:color w:val="auto"/>
                <w:lang w:val="en-US" w:eastAsia="zh-CN"/>
              </w:rPr>
              <w:t>临时绿化</w:t>
            </w:r>
          </w:p>
        </w:tc>
        <w:tc>
          <w:tcPr>
            <w:tcW w:w="820" w:type="dxa"/>
            <w:tcBorders>
              <w:tl2br w:val="nil"/>
              <w:tr2bl w:val="nil"/>
            </w:tcBorders>
            <w:vAlign w:val="center"/>
          </w:tcPr>
          <w:p w14:paraId="34D3733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color w:val="auto"/>
              </w:rPr>
            </w:pPr>
            <w:r>
              <w:rPr>
                <w:rFonts w:hint="eastAsia" w:ascii="Times New Roman" w:hAnsi="Times New Roman" w:cs="Times New Roman"/>
                <w:sz w:val="24"/>
                <w:szCs w:val="24"/>
                <w:lang w:val="en-US" w:eastAsia="zh-CN"/>
              </w:rPr>
              <w:t>h</w:t>
            </w:r>
            <w:r>
              <w:rPr>
                <w:rFonts w:hint="eastAsia" w:ascii="Times New Roman" w:hAnsi="Times New Roman" w:cs="Times New Roman"/>
                <w:sz w:val="24"/>
                <w:szCs w:val="24"/>
                <w:lang w:eastAsia="zh-CN"/>
              </w:rPr>
              <w:t>m</w:t>
            </w:r>
            <w:r>
              <w:rPr>
                <w:rFonts w:hint="eastAsia" w:ascii="Times New Roman" w:hAnsi="Times New Roman" w:cs="Times New Roman"/>
                <w:sz w:val="24"/>
                <w:szCs w:val="24"/>
                <w:vertAlign w:val="superscript"/>
                <w:lang w:eastAsia="zh-CN"/>
              </w:rPr>
              <w:t>2</w:t>
            </w:r>
          </w:p>
        </w:tc>
        <w:tc>
          <w:tcPr>
            <w:tcW w:w="1935" w:type="dxa"/>
            <w:tcBorders>
              <w:tl2br w:val="nil"/>
              <w:tr2bl w:val="nil"/>
            </w:tcBorders>
            <w:vAlign w:val="center"/>
          </w:tcPr>
          <w:p w14:paraId="0F9C8949">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eastAsia="仿宋_GB2312"/>
                <w:color w:val="auto"/>
                <w:lang w:val="en-US" w:eastAsia="zh-CN"/>
              </w:rPr>
            </w:pPr>
            <w:r>
              <w:rPr>
                <w:rFonts w:hint="eastAsia" w:eastAsia="仿宋"/>
                <w:sz w:val="24"/>
                <w:szCs w:val="24"/>
                <w:lang w:val="en-US" w:eastAsia="zh-CN"/>
              </w:rPr>
              <w:t>0.03</w:t>
            </w:r>
          </w:p>
        </w:tc>
        <w:tc>
          <w:tcPr>
            <w:tcW w:w="1939" w:type="dxa"/>
            <w:tcBorders>
              <w:tl2br w:val="nil"/>
              <w:tr2bl w:val="nil"/>
            </w:tcBorders>
            <w:vAlign w:val="center"/>
          </w:tcPr>
          <w:p w14:paraId="3A0A98B5">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eastAsia="仿宋_GB2312"/>
                <w:color w:val="auto"/>
                <w:lang w:val="en-US" w:eastAsia="zh-CN"/>
              </w:rPr>
            </w:pPr>
            <w:r>
              <w:rPr>
                <w:rFonts w:hint="eastAsia" w:eastAsia="仿宋"/>
                <w:sz w:val="24"/>
                <w:szCs w:val="24"/>
                <w:lang w:val="en-US" w:eastAsia="zh-CN"/>
              </w:rPr>
              <w:t>0.03</w:t>
            </w:r>
          </w:p>
        </w:tc>
        <w:tc>
          <w:tcPr>
            <w:tcW w:w="1414" w:type="dxa"/>
            <w:tcBorders>
              <w:tl2br w:val="nil"/>
              <w:tr2bl w:val="nil"/>
            </w:tcBorders>
            <w:vAlign w:val="center"/>
          </w:tcPr>
          <w:p w14:paraId="751A9808">
            <w:pPr>
              <w:pStyle w:val="18"/>
              <w:ind w:firstLine="0" w:firstLineChars="0"/>
              <w:rPr>
                <w:color w:val="auto"/>
              </w:rPr>
            </w:pPr>
            <w:r>
              <w:rPr>
                <w:rFonts w:hint="default" w:ascii="Times New Roman" w:hAnsi="Times New Roman" w:eastAsia="仿宋" w:cs="Times New Roman"/>
                <w:color w:val="auto"/>
              </w:rPr>
              <w:t>0</w:t>
            </w:r>
          </w:p>
        </w:tc>
      </w:tr>
      <w:tr w14:paraId="29AEA1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0" w:type="dxa"/>
            <w:tcBorders>
              <w:tl2br w:val="nil"/>
              <w:tr2bl w:val="nil"/>
            </w:tcBorders>
            <w:vAlign w:val="center"/>
          </w:tcPr>
          <w:p w14:paraId="72CE8EAE">
            <w:pPr>
              <w:pStyle w:val="18"/>
              <w:ind w:firstLine="0" w:firstLineChars="0"/>
              <w:rPr>
                <w:rFonts w:hint="eastAsia" w:eastAsia="仿宋_GB2312"/>
                <w:color w:val="auto"/>
                <w:lang w:val="en-US" w:eastAsia="zh-CN"/>
              </w:rPr>
            </w:pPr>
            <w:r>
              <w:rPr>
                <w:rFonts w:hint="eastAsia"/>
                <w:color w:val="auto"/>
                <w:lang w:val="en-US" w:eastAsia="zh-CN"/>
              </w:rPr>
              <w:t>2</w:t>
            </w:r>
          </w:p>
        </w:tc>
        <w:tc>
          <w:tcPr>
            <w:tcW w:w="1919" w:type="dxa"/>
            <w:tcBorders>
              <w:tl2br w:val="nil"/>
              <w:tr2bl w:val="nil"/>
            </w:tcBorders>
            <w:vAlign w:val="center"/>
          </w:tcPr>
          <w:p w14:paraId="1850E6C3">
            <w:pPr>
              <w:pStyle w:val="18"/>
              <w:ind w:firstLine="0" w:firstLineChars="0"/>
              <w:rPr>
                <w:color w:val="auto"/>
              </w:rPr>
            </w:pPr>
            <w:r>
              <w:rPr>
                <w:rFonts w:hint="eastAsia"/>
                <w:color w:val="auto"/>
                <w:lang w:val="en-US" w:eastAsia="zh-CN"/>
              </w:rPr>
              <w:t>撒播狗牙根草籽</w:t>
            </w:r>
          </w:p>
        </w:tc>
        <w:tc>
          <w:tcPr>
            <w:tcW w:w="820" w:type="dxa"/>
            <w:tcBorders>
              <w:tl2br w:val="nil"/>
              <w:tr2bl w:val="nil"/>
            </w:tcBorders>
            <w:vAlign w:val="center"/>
          </w:tcPr>
          <w:p w14:paraId="00F0266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lang w:val="en-US" w:eastAsia="zh-CN"/>
              </w:rPr>
            </w:pPr>
            <w:r>
              <w:rPr>
                <w:rFonts w:hint="eastAsia" w:ascii="Times New Roman" w:hAnsi="Times New Roman" w:cs="Times New Roman"/>
                <w:sz w:val="24"/>
                <w:szCs w:val="24"/>
                <w:lang w:val="en-US" w:eastAsia="zh-CN"/>
              </w:rPr>
              <w:t>h</w:t>
            </w:r>
            <w:r>
              <w:rPr>
                <w:rFonts w:hint="eastAsia" w:ascii="Times New Roman" w:hAnsi="Times New Roman" w:cs="Times New Roman"/>
                <w:sz w:val="24"/>
                <w:szCs w:val="24"/>
                <w:lang w:eastAsia="zh-CN"/>
              </w:rPr>
              <w:t>m</w:t>
            </w:r>
            <w:r>
              <w:rPr>
                <w:rFonts w:hint="eastAsia" w:ascii="Times New Roman" w:hAnsi="Times New Roman" w:cs="Times New Roman"/>
                <w:sz w:val="24"/>
                <w:szCs w:val="24"/>
                <w:vertAlign w:val="superscript"/>
                <w:lang w:eastAsia="zh-CN"/>
              </w:rPr>
              <w:t>2</w:t>
            </w:r>
          </w:p>
        </w:tc>
        <w:tc>
          <w:tcPr>
            <w:tcW w:w="1935" w:type="dxa"/>
            <w:tcBorders>
              <w:tl2br w:val="nil"/>
              <w:tr2bl w:val="nil"/>
            </w:tcBorders>
            <w:vAlign w:val="center"/>
          </w:tcPr>
          <w:p w14:paraId="47C3BB82">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color w:val="auto"/>
                <w:lang w:val="en-US" w:eastAsia="zh-CN"/>
              </w:rPr>
            </w:pPr>
            <w:r>
              <w:rPr>
                <w:rFonts w:hint="eastAsia" w:eastAsia="仿宋"/>
                <w:sz w:val="24"/>
                <w:szCs w:val="24"/>
                <w:lang w:val="en-US" w:eastAsia="zh-CN"/>
              </w:rPr>
              <w:t>0.23</w:t>
            </w:r>
          </w:p>
        </w:tc>
        <w:tc>
          <w:tcPr>
            <w:tcW w:w="1939" w:type="dxa"/>
            <w:tcBorders>
              <w:tl2br w:val="nil"/>
              <w:tr2bl w:val="nil"/>
            </w:tcBorders>
            <w:vAlign w:val="center"/>
          </w:tcPr>
          <w:p w14:paraId="55FE6A7B">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color w:val="auto"/>
                <w:lang w:val="en-US" w:eastAsia="zh-CN"/>
              </w:rPr>
            </w:pPr>
            <w:r>
              <w:rPr>
                <w:rFonts w:hint="eastAsia" w:eastAsia="仿宋"/>
                <w:sz w:val="24"/>
                <w:szCs w:val="24"/>
                <w:lang w:val="en-US" w:eastAsia="zh-CN"/>
              </w:rPr>
              <w:t>0</w:t>
            </w:r>
          </w:p>
        </w:tc>
        <w:tc>
          <w:tcPr>
            <w:tcW w:w="1414" w:type="dxa"/>
            <w:tcBorders>
              <w:tl2br w:val="nil"/>
              <w:tr2bl w:val="nil"/>
            </w:tcBorders>
            <w:vAlign w:val="center"/>
          </w:tcPr>
          <w:p w14:paraId="1E146B1D">
            <w:pPr>
              <w:pStyle w:val="18"/>
              <w:ind w:firstLine="0" w:firstLineChars="0"/>
              <w:rPr>
                <w:rFonts w:hint="eastAsia"/>
                <w:color w:val="auto"/>
              </w:rPr>
            </w:pPr>
            <w:r>
              <w:rPr>
                <w:rFonts w:hint="eastAsia" w:ascii="Times New Roman" w:hAnsi="Times New Roman" w:eastAsia="仿宋" w:cs="Times New Roman"/>
                <w:color w:val="auto"/>
                <w:lang w:val="en-US" w:eastAsia="zh-CN"/>
              </w:rPr>
              <w:t>-0.23</w:t>
            </w:r>
          </w:p>
        </w:tc>
      </w:tr>
    </w:tbl>
    <w:p w14:paraId="1365F55F">
      <w:pPr>
        <w:pStyle w:val="4"/>
        <w:widowControl/>
        <w:rPr>
          <w:rFonts w:eastAsia="仿宋"/>
          <w:color w:val="auto"/>
          <w:kern w:val="0"/>
        </w:rPr>
      </w:pPr>
      <w:r>
        <w:rPr>
          <w:rFonts w:eastAsia="仿宋"/>
          <w:color w:val="auto"/>
          <w:kern w:val="0"/>
        </w:rPr>
        <w:t>3.5.3临时措施监测结果</w:t>
      </w:r>
      <w:bookmarkEnd w:id="63"/>
    </w:p>
    <w:p w14:paraId="3E71DA5C">
      <w:pPr>
        <w:pStyle w:val="5"/>
        <w:widowControl/>
        <w:rPr>
          <w:rFonts w:eastAsia="仿宋"/>
          <w:color w:val="auto"/>
          <w:kern w:val="0"/>
        </w:rPr>
      </w:pPr>
      <w:r>
        <w:rPr>
          <w:rFonts w:eastAsia="仿宋"/>
          <w:color w:val="auto"/>
          <w:kern w:val="0"/>
        </w:rPr>
        <w:t>3.5.3.1主体工程防治区</w:t>
      </w:r>
    </w:p>
    <w:p w14:paraId="610892D1">
      <w:pPr>
        <w:adjustRightInd w:val="0"/>
        <w:snapToGrid w:val="0"/>
        <w:ind w:firstLine="560"/>
        <w:rPr>
          <w:rFonts w:hint="eastAsia" w:eastAsia="仿宋"/>
          <w:bCs/>
          <w:color w:val="auto"/>
          <w:szCs w:val="28"/>
          <w:lang w:eastAsia="zh-CN"/>
        </w:rPr>
      </w:pPr>
      <w:r>
        <w:rPr>
          <w:rFonts w:eastAsia="仿宋"/>
          <w:bCs/>
          <w:color w:val="auto"/>
          <w:szCs w:val="28"/>
        </w:rPr>
        <w:t>①</w:t>
      </w:r>
      <w:r>
        <w:rPr>
          <w:rFonts w:hint="eastAsia" w:eastAsia="仿宋"/>
          <w:bCs/>
          <w:color w:val="auto"/>
          <w:szCs w:val="28"/>
          <w:lang w:val="en-US" w:eastAsia="zh-CN"/>
        </w:rPr>
        <w:t>排水沟</w:t>
      </w:r>
    </w:p>
    <w:p w14:paraId="34771A70">
      <w:pPr>
        <w:adjustRightInd w:val="0"/>
        <w:snapToGrid w:val="0"/>
        <w:ind w:firstLine="560"/>
        <w:rPr>
          <w:rFonts w:hint="eastAsia"/>
          <w:color w:val="auto"/>
          <w:szCs w:val="28"/>
        </w:rPr>
      </w:pPr>
      <w:r>
        <w:rPr>
          <w:rFonts w:hint="eastAsia"/>
          <w:color w:val="auto"/>
          <w:szCs w:val="28"/>
          <w:lang w:val="en-US" w:eastAsia="zh-CN"/>
        </w:rPr>
        <w:t>根据现场核查，</w:t>
      </w:r>
      <w:r>
        <w:rPr>
          <w:rFonts w:hint="eastAsia"/>
          <w:color w:val="auto"/>
          <w:szCs w:val="28"/>
        </w:rPr>
        <w:t>排水沟采用矩形断面，M7.5浆砌砖结构，底宽45cm，</w:t>
      </w:r>
    </w:p>
    <w:p w14:paraId="59C14BA5">
      <w:pPr>
        <w:adjustRightInd w:val="0"/>
        <w:snapToGrid w:val="0"/>
        <w:ind w:left="0" w:leftChars="0" w:firstLine="0" w:firstLineChars="0"/>
        <w:rPr>
          <w:color w:val="auto"/>
          <w:szCs w:val="28"/>
        </w:rPr>
      </w:pPr>
      <w:r>
        <w:rPr>
          <w:rFonts w:hint="eastAsia"/>
          <w:color w:val="auto"/>
          <w:szCs w:val="28"/>
        </w:rPr>
        <w:t>沟深45cm，沟壁砖砌厚12cm，M10水泥砂浆抹面2cm，沟底采用C15素砼浇筑厚10cm，沟底比降5‰</w:t>
      </w:r>
      <w:r>
        <w:rPr>
          <w:rFonts w:hint="eastAsia"/>
          <w:color w:val="auto"/>
          <w:szCs w:val="28"/>
          <w:lang w:eastAsia="zh-CN"/>
        </w:rPr>
        <w:t>，共计布设排水沟643.50m</w:t>
      </w:r>
      <w:r>
        <w:rPr>
          <w:rFonts w:hint="eastAsia"/>
          <w:color w:val="auto"/>
          <w:szCs w:val="28"/>
        </w:rPr>
        <w:t>。</w:t>
      </w:r>
      <w:r>
        <w:rPr>
          <w:color w:val="auto"/>
          <w:szCs w:val="28"/>
        </w:rPr>
        <w:t>工程施工结束后施工单位已对其进行拆除；与水土保持方案设计相比，</w:t>
      </w:r>
      <w:r>
        <w:rPr>
          <w:rFonts w:hint="eastAsia" w:eastAsia="仿宋"/>
          <w:bCs/>
          <w:color w:val="auto"/>
          <w:szCs w:val="28"/>
          <w:lang w:val="en-US" w:eastAsia="zh-CN"/>
        </w:rPr>
        <w:t>排水沟长度</w:t>
      </w:r>
      <w:r>
        <w:rPr>
          <w:color w:val="auto"/>
          <w:szCs w:val="28"/>
        </w:rPr>
        <w:t>不变。</w:t>
      </w:r>
    </w:p>
    <w:p w14:paraId="565EB4A7">
      <w:pPr>
        <w:adjustRightInd w:val="0"/>
        <w:snapToGrid w:val="0"/>
        <w:ind w:firstLine="560"/>
        <w:rPr>
          <w:rFonts w:hint="eastAsia" w:eastAsia="仿宋"/>
          <w:bCs/>
          <w:color w:val="auto"/>
          <w:szCs w:val="28"/>
          <w:lang w:val="en-US" w:eastAsia="zh-CN"/>
        </w:rPr>
      </w:pPr>
      <w:r>
        <w:rPr>
          <w:color w:val="auto"/>
          <w:szCs w:val="28"/>
        </w:rPr>
        <w:t>②</w:t>
      </w:r>
      <w:r>
        <w:rPr>
          <w:rFonts w:hint="eastAsia" w:eastAsia="仿宋"/>
          <w:bCs/>
          <w:color w:val="auto"/>
          <w:szCs w:val="28"/>
          <w:lang w:val="en-US" w:eastAsia="zh-CN"/>
        </w:rPr>
        <w:t>沉沙池</w:t>
      </w:r>
    </w:p>
    <w:p w14:paraId="2DA1C001">
      <w:pPr>
        <w:adjustRightInd w:val="0"/>
        <w:snapToGrid w:val="0"/>
        <w:ind w:firstLine="560"/>
        <w:rPr>
          <w:color w:val="auto"/>
          <w:szCs w:val="28"/>
        </w:rPr>
      </w:pPr>
      <w:r>
        <w:rPr>
          <w:color w:val="auto"/>
          <w:szCs w:val="28"/>
        </w:rPr>
        <w:t>根据现场核查，</w:t>
      </w:r>
      <w:r>
        <w:rPr>
          <w:rFonts w:eastAsia="仿宋"/>
          <w:bCs/>
          <w:color w:val="auto"/>
          <w:szCs w:val="28"/>
        </w:rPr>
        <w:t>施工单位</w:t>
      </w:r>
      <w:r>
        <w:rPr>
          <w:rFonts w:hint="eastAsia" w:eastAsia="仿宋"/>
          <w:bCs/>
          <w:color w:val="auto"/>
          <w:szCs w:val="28"/>
        </w:rPr>
        <w:t>在主体工程区排水沟出口处布置沉沙池，采用三级沉沙池，长3.48m，宽</w:t>
      </w:r>
      <w:r>
        <w:rPr>
          <w:rFonts w:hint="eastAsia" w:eastAsia="仿宋"/>
          <w:bCs/>
          <w:color w:val="auto"/>
          <w:szCs w:val="28"/>
          <w:lang w:val="en-US" w:eastAsia="zh-CN"/>
        </w:rPr>
        <w:t>2</w:t>
      </w:r>
      <w:r>
        <w:rPr>
          <w:rFonts w:hint="eastAsia" w:eastAsia="仿宋"/>
          <w:bCs/>
          <w:color w:val="auto"/>
          <w:szCs w:val="28"/>
        </w:rPr>
        <w:t>m，深1.5m，采用矩形断面，M7.5浆砌砖结构，池壁和隔墙砌厚24cm，M10水泥砂浆抹面2cm，池底采用C15素砼浇筑厚20cm。共计布设沉沙池</w:t>
      </w:r>
      <w:r>
        <w:rPr>
          <w:rFonts w:hint="eastAsia" w:eastAsia="仿宋"/>
          <w:bCs/>
          <w:color w:val="auto"/>
          <w:szCs w:val="28"/>
          <w:lang w:val="en-US" w:eastAsia="zh-CN"/>
        </w:rPr>
        <w:t>2</w:t>
      </w:r>
      <w:r>
        <w:rPr>
          <w:rFonts w:hint="eastAsia" w:eastAsia="仿宋"/>
          <w:bCs/>
          <w:color w:val="auto"/>
          <w:szCs w:val="28"/>
        </w:rPr>
        <w:t>口</w:t>
      </w:r>
      <w:r>
        <w:rPr>
          <w:rFonts w:hint="eastAsia" w:eastAsia="仿宋"/>
          <w:bCs/>
          <w:color w:val="auto"/>
          <w:szCs w:val="28"/>
          <w:lang w:eastAsia="zh-CN"/>
        </w:rPr>
        <w:t>。</w:t>
      </w:r>
      <w:r>
        <w:rPr>
          <w:color w:val="auto"/>
          <w:szCs w:val="28"/>
        </w:rPr>
        <w:t>与水土保持方案设计相比，</w:t>
      </w:r>
      <w:r>
        <w:rPr>
          <w:rFonts w:hint="eastAsia" w:eastAsia="仿宋"/>
          <w:bCs/>
          <w:color w:val="auto"/>
          <w:szCs w:val="28"/>
          <w:lang w:val="en-US" w:eastAsia="zh-CN"/>
        </w:rPr>
        <w:t>沉沙池</w:t>
      </w:r>
      <w:r>
        <w:rPr>
          <w:color w:val="auto"/>
          <w:szCs w:val="28"/>
        </w:rPr>
        <w:t>数量不变。</w:t>
      </w:r>
    </w:p>
    <w:p w14:paraId="3DE0E2A8">
      <w:pPr>
        <w:snapToGrid w:val="0"/>
        <w:ind w:firstLine="560"/>
        <w:rPr>
          <w:rFonts w:eastAsia="仿宋"/>
          <w:bCs/>
          <w:color w:val="auto"/>
          <w:szCs w:val="28"/>
        </w:rPr>
      </w:pPr>
      <w:r>
        <w:rPr>
          <w:rFonts w:eastAsia="仿宋"/>
          <w:bCs/>
          <w:color w:val="auto"/>
          <w:szCs w:val="28"/>
        </w:rPr>
        <w:t>③</w:t>
      </w:r>
      <w:r>
        <w:rPr>
          <w:rFonts w:hint="eastAsia" w:eastAsia="仿宋"/>
          <w:bCs/>
          <w:color w:val="auto"/>
          <w:szCs w:val="28"/>
        </w:rPr>
        <w:t>基坑截水沟</w:t>
      </w:r>
    </w:p>
    <w:p w14:paraId="3B222D92">
      <w:pPr>
        <w:snapToGrid w:val="0"/>
        <w:ind w:firstLine="560"/>
        <w:rPr>
          <w:rFonts w:hint="eastAsia"/>
          <w:color w:val="auto"/>
          <w:szCs w:val="28"/>
          <w:lang w:eastAsia="zh-CN"/>
        </w:rPr>
      </w:pPr>
      <w:r>
        <w:rPr>
          <w:color w:val="auto"/>
          <w:szCs w:val="28"/>
        </w:rPr>
        <w:t>根据现场核查，</w:t>
      </w:r>
      <w:r>
        <w:rPr>
          <w:rFonts w:hint="eastAsia"/>
          <w:color w:val="auto"/>
          <w:szCs w:val="28"/>
        </w:rPr>
        <w:t>施工单位已在基坑顶部截水沟采用矩形断面，M7.5 浆砌砖结构，沟宽30cm，沟深35cm，沟壁砖砌厚度12cm，M10水泥砂浆抹面2cm，沟底采用C15 素砼浇筑厚10cm</w:t>
      </w:r>
      <w:r>
        <w:rPr>
          <w:rFonts w:hint="eastAsia"/>
          <w:color w:val="auto"/>
          <w:szCs w:val="28"/>
          <w:lang w:eastAsia="zh-CN"/>
        </w:rPr>
        <w:t>，</w:t>
      </w:r>
      <w:r>
        <w:rPr>
          <w:rFonts w:hint="eastAsia"/>
          <w:color w:val="auto"/>
          <w:szCs w:val="28"/>
        </w:rPr>
        <w:t>共计布设基坑截水沟 596m</w:t>
      </w:r>
      <w:r>
        <w:rPr>
          <w:rFonts w:hint="eastAsia"/>
          <w:color w:val="auto"/>
          <w:szCs w:val="28"/>
          <w:lang w:eastAsia="zh-CN"/>
        </w:rPr>
        <w:t>。</w:t>
      </w:r>
      <w:r>
        <w:rPr>
          <w:color w:val="auto"/>
          <w:szCs w:val="28"/>
        </w:rPr>
        <w:t>工程施工结束后施工单位已对其进行拆除</w:t>
      </w:r>
      <w:r>
        <w:rPr>
          <w:rFonts w:hint="eastAsia"/>
          <w:color w:val="auto"/>
          <w:szCs w:val="28"/>
          <w:lang w:eastAsia="zh-CN"/>
        </w:rPr>
        <w:t>，</w:t>
      </w:r>
      <w:r>
        <w:rPr>
          <w:color w:val="auto"/>
          <w:szCs w:val="28"/>
        </w:rPr>
        <w:t>与水土保持方案设计相比，</w:t>
      </w:r>
      <w:r>
        <w:rPr>
          <w:rFonts w:hint="eastAsia"/>
          <w:color w:val="auto"/>
          <w:szCs w:val="28"/>
          <w:lang w:val="en-US" w:eastAsia="zh-CN"/>
        </w:rPr>
        <w:t>基坑截水沟长度</w:t>
      </w:r>
      <w:r>
        <w:rPr>
          <w:rFonts w:hint="eastAsia"/>
          <w:color w:val="auto"/>
          <w:szCs w:val="28"/>
        </w:rPr>
        <w:t>不变</w:t>
      </w:r>
      <w:r>
        <w:rPr>
          <w:rFonts w:hint="eastAsia"/>
          <w:color w:val="auto"/>
          <w:szCs w:val="28"/>
          <w:lang w:eastAsia="zh-CN"/>
        </w:rPr>
        <w:t>。</w:t>
      </w:r>
    </w:p>
    <w:p w14:paraId="674282D2">
      <w:pPr>
        <w:snapToGrid w:val="0"/>
        <w:ind w:firstLine="560"/>
        <w:rPr>
          <w:rFonts w:hint="default" w:eastAsia="仿宋"/>
          <w:bCs/>
          <w:color w:val="auto"/>
          <w:szCs w:val="28"/>
          <w:lang w:val="en-US" w:eastAsia="zh-CN"/>
        </w:rPr>
      </w:pPr>
      <w:r>
        <w:rPr>
          <w:rFonts w:eastAsia="仿宋"/>
          <w:bCs/>
          <w:color w:val="auto"/>
          <w:szCs w:val="28"/>
        </w:rPr>
        <w:t>④</w:t>
      </w:r>
      <w:r>
        <w:rPr>
          <w:rFonts w:hint="eastAsia" w:eastAsia="仿宋"/>
          <w:bCs/>
          <w:color w:val="auto"/>
          <w:szCs w:val="28"/>
          <w:lang w:val="en-US" w:eastAsia="zh-CN"/>
        </w:rPr>
        <w:t>集水井</w:t>
      </w:r>
    </w:p>
    <w:p w14:paraId="7BC013EF">
      <w:pPr>
        <w:adjustRightInd w:val="0"/>
        <w:snapToGrid w:val="0"/>
        <w:ind w:firstLine="560"/>
        <w:rPr>
          <w:color w:val="auto"/>
          <w:szCs w:val="28"/>
        </w:rPr>
      </w:pPr>
      <w:r>
        <w:rPr>
          <w:color w:val="auto"/>
          <w:szCs w:val="28"/>
        </w:rPr>
        <w:t>根据现场核查，</w:t>
      </w:r>
      <w:r>
        <w:rPr>
          <w:rFonts w:hint="eastAsia"/>
          <w:color w:val="auto"/>
          <w:szCs w:val="28"/>
        </w:rPr>
        <w:t>集水井采长80cm，宽80cm，深80cm，M7.5浆砌砖结构，池壁砖砌厚12cm，M10水泥砂浆抹面2cm，池底采</w:t>
      </w:r>
      <w:r>
        <w:rPr>
          <w:rFonts w:hint="eastAsia"/>
          <w:color w:val="auto"/>
          <w:szCs w:val="28"/>
          <w:lang w:val="en-US" w:eastAsia="zh-CN"/>
        </w:rPr>
        <w:t>用</w:t>
      </w:r>
      <w:r>
        <w:rPr>
          <w:rFonts w:hint="eastAsia"/>
          <w:color w:val="auto"/>
          <w:szCs w:val="28"/>
        </w:rPr>
        <w:t>C15素砼浇筑厚10cm</w:t>
      </w:r>
      <w:r>
        <w:rPr>
          <w:rFonts w:hint="eastAsia"/>
          <w:color w:val="auto"/>
          <w:szCs w:val="28"/>
          <w:lang w:eastAsia="zh-CN"/>
        </w:rPr>
        <w:t>，</w:t>
      </w:r>
      <w:r>
        <w:rPr>
          <w:rFonts w:hint="eastAsia"/>
          <w:color w:val="auto"/>
          <w:szCs w:val="28"/>
        </w:rPr>
        <w:t>共计布设集水井14口</w:t>
      </w:r>
      <w:r>
        <w:rPr>
          <w:rFonts w:hint="eastAsia"/>
          <w:color w:val="auto"/>
          <w:szCs w:val="28"/>
          <w:lang w:eastAsia="zh-CN"/>
        </w:rPr>
        <w:t>。</w:t>
      </w:r>
      <w:r>
        <w:rPr>
          <w:color w:val="auto"/>
          <w:szCs w:val="28"/>
        </w:rPr>
        <w:t>工程施工结束后施工单位已对其进行拆除；与水土保持方案设计相比，</w:t>
      </w:r>
      <w:r>
        <w:rPr>
          <w:rFonts w:hint="eastAsia"/>
          <w:color w:val="auto"/>
          <w:szCs w:val="28"/>
          <w:lang w:val="en-US" w:eastAsia="zh-CN"/>
        </w:rPr>
        <w:t>集水井</w:t>
      </w:r>
      <w:r>
        <w:rPr>
          <w:color w:val="auto"/>
          <w:szCs w:val="28"/>
        </w:rPr>
        <w:t>数量不变。</w:t>
      </w:r>
    </w:p>
    <w:p w14:paraId="7FBC1D61">
      <w:pPr>
        <w:snapToGrid w:val="0"/>
        <w:ind w:firstLine="560"/>
        <w:rPr>
          <w:rFonts w:hint="default" w:eastAsia="仿宋"/>
          <w:bCs/>
          <w:color w:val="auto"/>
          <w:szCs w:val="28"/>
          <w:lang w:val="en-US" w:eastAsia="zh-CN"/>
        </w:rPr>
      </w:pPr>
      <w:r>
        <w:rPr>
          <w:rFonts w:hint="eastAsia" w:eastAsia="仿宋"/>
          <w:bCs/>
          <w:color w:val="auto"/>
          <w:szCs w:val="28"/>
        </w:rPr>
        <w:t>⑤</w:t>
      </w:r>
      <w:r>
        <w:rPr>
          <w:rFonts w:hint="eastAsia" w:eastAsia="仿宋"/>
          <w:bCs/>
          <w:color w:val="auto"/>
          <w:szCs w:val="28"/>
          <w:lang w:val="en-US" w:eastAsia="zh-CN"/>
        </w:rPr>
        <w:t>基坑集水沟</w:t>
      </w:r>
    </w:p>
    <w:p w14:paraId="77A01A0F">
      <w:pPr>
        <w:snapToGrid w:val="0"/>
        <w:ind w:firstLine="560"/>
        <w:rPr>
          <w:rFonts w:eastAsia="仿宋"/>
          <w:bCs/>
          <w:color w:val="auto"/>
          <w:szCs w:val="28"/>
        </w:rPr>
      </w:pPr>
      <w:r>
        <w:rPr>
          <w:rFonts w:eastAsia="仿宋"/>
          <w:bCs/>
          <w:color w:val="auto"/>
          <w:szCs w:val="28"/>
        </w:rPr>
        <w:t>根据现场核查，</w:t>
      </w:r>
      <w:r>
        <w:rPr>
          <w:rFonts w:hint="eastAsia" w:eastAsia="仿宋"/>
          <w:bCs/>
          <w:color w:val="auto"/>
          <w:szCs w:val="28"/>
          <w:lang w:val="en-US" w:eastAsia="zh-CN"/>
        </w:rPr>
        <w:t>施工单位已在</w:t>
      </w:r>
      <w:r>
        <w:rPr>
          <w:rFonts w:hint="eastAsia" w:eastAsia="仿宋"/>
          <w:bCs/>
          <w:color w:val="auto"/>
          <w:szCs w:val="28"/>
        </w:rPr>
        <w:t>基坑底部集水沟采用矩形断面，M7.5 浆砌砖结构，沟宽30cm，沟深30cm，沟壁砖砌厚度12cm，M10水泥砂浆抹面2cm，沟底采用C15素砼浇筑厚10cm</w:t>
      </w:r>
      <w:r>
        <w:rPr>
          <w:rFonts w:hint="eastAsia" w:eastAsia="仿宋"/>
          <w:bCs/>
          <w:color w:val="auto"/>
          <w:szCs w:val="28"/>
          <w:lang w:eastAsia="zh-CN"/>
        </w:rPr>
        <w:t>，</w:t>
      </w:r>
      <w:r>
        <w:rPr>
          <w:rFonts w:hint="eastAsia" w:eastAsia="仿宋"/>
          <w:bCs/>
          <w:color w:val="auto"/>
          <w:szCs w:val="28"/>
        </w:rPr>
        <w:t>共计布设集水沟562m</w:t>
      </w:r>
      <w:r>
        <w:rPr>
          <w:rFonts w:hint="eastAsia" w:eastAsia="仿宋"/>
          <w:bCs/>
          <w:color w:val="auto"/>
          <w:szCs w:val="28"/>
          <w:lang w:eastAsia="zh-CN"/>
        </w:rPr>
        <w:t>。</w:t>
      </w:r>
      <w:r>
        <w:rPr>
          <w:rFonts w:eastAsia="仿宋"/>
          <w:bCs/>
          <w:color w:val="auto"/>
          <w:szCs w:val="28"/>
        </w:rPr>
        <w:t>工程施工结束后施工单位已对其进行拆除；与水土保持方案设计相比，</w:t>
      </w:r>
      <w:r>
        <w:rPr>
          <w:rFonts w:hint="eastAsia" w:eastAsia="仿宋"/>
          <w:bCs/>
          <w:color w:val="auto"/>
          <w:szCs w:val="28"/>
          <w:lang w:val="en-US" w:eastAsia="zh-CN"/>
        </w:rPr>
        <w:t>基坑集水沟长度</w:t>
      </w:r>
      <w:r>
        <w:rPr>
          <w:rFonts w:eastAsia="仿宋"/>
          <w:bCs/>
          <w:color w:val="auto"/>
          <w:szCs w:val="28"/>
        </w:rPr>
        <w:t>不变。</w:t>
      </w:r>
    </w:p>
    <w:p w14:paraId="3139D9C7">
      <w:pPr>
        <w:snapToGrid w:val="0"/>
        <w:ind w:firstLine="560"/>
        <w:rPr>
          <w:rFonts w:hint="default" w:eastAsia="仿宋"/>
          <w:bCs/>
          <w:color w:val="auto"/>
          <w:szCs w:val="28"/>
          <w:lang w:val="en-US" w:eastAsia="zh-CN"/>
        </w:rPr>
      </w:pPr>
      <w:r>
        <w:rPr>
          <w:rFonts w:hint="eastAsia" w:eastAsia="仿宋"/>
          <w:bCs/>
          <w:color w:val="auto"/>
          <w:szCs w:val="28"/>
        </w:rPr>
        <w:t>⑥</w:t>
      </w:r>
      <w:r>
        <w:rPr>
          <w:rFonts w:hint="eastAsia" w:eastAsia="仿宋"/>
          <w:bCs/>
          <w:color w:val="auto"/>
          <w:szCs w:val="28"/>
          <w:lang w:val="en-US" w:eastAsia="zh-CN"/>
        </w:rPr>
        <w:t>泥浆沉淀池</w:t>
      </w:r>
    </w:p>
    <w:p w14:paraId="31FC7C0C">
      <w:pPr>
        <w:snapToGrid w:val="0"/>
        <w:ind w:firstLine="560"/>
        <w:rPr>
          <w:rFonts w:eastAsia="仿宋"/>
          <w:bCs/>
          <w:color w:val="auto"/>
          <w:szCs w:val="28"/>
        </w:rPr>
      </w:pPr>
      <w:r>
        <w:rPr>
          <w:rFonts w:eastAsia="仿宋"/>
          <w:bCs/>
          <w:color w:val="auto"/>
          <w:szCs w:val="28"/>
        </w:rPr>
        <w:t>根据现场核查，</w:t>
      </w:r>
      <w:r>
        <w:rPr>
          <w:rFonts w:hint="eastAsia" w:eastAsia="仿宋"/>
          <w:bCs/>
          <w:color w:val="auto"/>
          <w:szCs w:val="28"/>
          <w:lang w:val="en-US" w:eastAsia="zh-CN"/>
        </w:rPr>
        <w:t>在</w:t>
      </w:r>
      <w:r>
        <w:rPr>
          <w:rFonts w:hint="eastAsia" w:eastAsia="仿宋"/>
          <w:bCs/>
          <w:color w:val="auto"/>
          <w:szCs w:val="28"/>
        </w:rPr>
        <w:t>基坑旋挖桩和建构筑物基础钻孔灌注桩施工时，设置泥浆沉淀池</w:t>
      </w:r>
      <w:r>
        <w:rPr>
          <w:rFonts w:hint="eastAsia" w:eastAsia="仿宋"/>
          <w:bCs/>
          <w:color w:val="auto"/>
          <w:szCs w:val="28"/>
          <w:lang w:eastAsia="zh-CN"/>
        </w:rPr>
        <w:t>，</w:t>
      </w:r>
      <w:r>
        <w:rPr>
          <w:rFonts w:hint="eastAsia" w:eastAsia="仿宋"/>
          <w:bCs/>
          <w:color w:val="auto"/>
          <w:szCs w:val="28"/>
        </w:rPr>
        <w:t>尺寸为4.5m×3.5m×1.0m，共计布设泥浆沉淀池20口</w:t>
      </w:r>
      <w:r>
        <w:rPr>
          <w:rFonts w:hint="eastAsia" w:eastAsia="仿宋"/>
          <w:bCs/>
          <w:color w:val="auto"/>
          <w:szCs w:val="28"/>
          <w:lang w:eastAsia="zh-CN"/>
        </w:rPr>
        <w:t>。</w:t>
      </w:r>
      <w:r>
        <w:rPr>
          <w:rFonts w:eastAsia="仿宋"/>
          <w:bCs/>
          <w:color w:val="auto"/>
          <w:szCs w:val="28"/>
        </w:rPr>
        <w:t>工程施工结束后施工单位已对其进行拆除；与水土保持方案设计相比，</w:t>
      </w:r>
      <w:r>
        <w:rPr>
          <w:rFonts w:hint="eastAsia" w:eastAsia="仿宋"/>
          <w:bCs/>
          <w:color w:val="auto"/>
          <w:szCs w:val="28"/>
          <w:lang w:val="en-US" w:eastAsia="zh-CN"/>
        </w:rPr>
        <w:t>泥浆沉淀池</w:t>
      </w:r>
      <w:r>
        <w:rPr>
          <w:rFonts w:eastAsia="仿宋"/>
          <w:bCs/>
          <w:color w:val="auto"/>
          <w:szCs w:val="28"/>
        </w:rPr>
        <w:t>数量不变。</w:t>
      </w:r>
    </w:p>
    <w:p w14:paraId="55518B85">
      <w:pPr>
        <w:snapToGrid w:val="0"/>
        <w:ind w:firstLine="560"/>
        <w:rPr>
          <w:rFonts w:hint="default" w:eastAsia="仿宋"/>
          <w:bCs/>
          <w:color w:val="auto"/>
          <w:szCs w:val="28"/>
          <w:lang w:val="en-US" w:eastAsia="zh-CN"/>
        </w:rPr>
      </w:pPr>
      <w:r>
        <w:rPr>
          <w:rFonts w:hint="eastAsia" w:eastAsia="仿宋"/>
          <w:bCs/>
          <w:color w:val="auto"/>
          <w:szCs w:val="28"/>
        </w:rPr>
        <w:t>⑦</w:t>
      </w:r>
      <w:r>
        <w:rPr>
          <w:rFonts w:hint="eastAsia" w:eastAsia="仿宋"/>
          <w:bCs/>
          <w:color w:val="auto"/>
          <w:szCs w:val="28"/>
          <w:lang w:val="en-US" w:eastAsia="zh-CN"/>
        </w:rPr>
        <w:t>苫盖密目网</w:t>
      </w:r>
    </w:p>
    <w:p w14:paraId="09423D4C">
      <w:pPr>
        <w:snapToGrid w:val="0"/>
        <w:ind w:firstLine="560"/>
        <w:rPr>
          <w:rFonts w:eastAsia="仿宋"/>
          <w:bCs/>
          <w:color w:val="auto"/>
          <w:szCs w:val="28"/>
        </w:rPr>
      </w:pPr>
      <w:r>
        <w:rPr>
          <w:rFonts w:eastAsia="仿宋"/>
          <w:bCs/>
          <w:color w:val="auto"/>
          <w:szCs w:val="28"/>
        </w:rPr>
        <w:t>根据现场核查，</w:t>
      </w:r>
      <w:r>
        <w:rPr>
          <w:rFonts w:hint="eastAsia" w:eastAsia="仿宋"/>
          <w:bCs/>
          <w:color w:val="auto"/>
          <w:szCs w:val="28"/>
          <w:lang w:val="en-US" w:eastAsia="zh-CN"/>
        </w:rPr>
        <w:t>在管槽施工时对堆放在管槽一侧的土方采用密目网苫盖，共计布设密目网3200m</w:t>
      </w:r>
      <w:r>
        <w:rPr>
          <w:rFonts w:hint="eastAsia" w:eastAsia="仿宋"/>
          <w:bCs/>
          <w:color w:val="auto"/>
          <w:szCs w:val="28"/>
          <w:vertAlign w:val="superscript"/>
          <w:lang w:val="en-US" w:eastAsia="zh-CN"/>
        </w:rPr>
        <w:t>2</w:t>
      </w:r>
      <w:r>
        <w:rPr>
          <w:rFonts w:hint="eastAsia" w:eastAsia="仿宋"/>
          <w:bCs/>
          <w:color w:val="auto"/>
          <w:szCs w:val="28"/>
          <w:lang w:val="en-US" w:eastAsia="zh-CN"/>
        </w:rPr>
        <w:t>。</w:t>
      </w:r>
      <w:r>
        <w:rPr>
          <w:rFonts w:eastAsia="仿宋"/>
          <w:bCs/>
          <w:color w:val="auto"/>
          <w:szCs w:val="28"/>
        </w:rPr>
        <w:t>与水土保持方案设计相比，</w:t>
      </w:r>
      <w:r>
        <w:rPr>
          <w:rFonts w:hint="eastAsia" w:eastAsia="仿宋"/>
          <w:bCs/>
          <w:color w:val="auto"/>
          <w:szCs w:val="28"/>
          <w:lang w:val="en-US" w:eastAsia="zh-CN"/>
        </w:rPr>
        <w:t>密目网</w:t>
      </w:r>
      <w:r>
        <w:rPr>
          <w:rFonts w:eastAsia="仿宋"/>
          <w:bCs/>
          <w:color w:val="auto"/>
          <w:szCs w:val="28"/>
        </w:rPr>
        <w:t>数量</w:t>
      </w:r>
      <w:r>
        <w:rPr>
          <w:rFonts w:hint="eastAsia" w:eastAsia="仿宋"/>
          <w:bCs/>
          <w:color w:val="auto"/>
          <w:szCs w:val="28"/>
          <w:lang w:val="en-US" w:eastAsia="zh-CN"/>
        </w:rPr>
        <w:t>增加200m</w:t>
      </w:r>
      <w:r>
        <w:rPr>
          <w:rFonts w:hint="eastAsia" w:eastAsia="仿宋"/>
          <w:bCs/>
          <w:color w:val="auto"/>
          <w:szCs w:val="28"/>
          <w:vertAlign w:val="superscript"/>
          <w:lang w:val="en-US" w:eastAsia="zh-CN"/>
        </w:rPr>
        <w:t>2</w:t>
      </w:r>
      <w:r>
        <w:rPr>
          <w:rFonts w:eastAsia="仿宋"/>
          <w:bCs/>
          <w:color w:val="auto"/>
          <w:szCs w:val="28"/>
        </w:rPr>
        <w:t>。</w:t>
      </w:r>
    </w:p>
    <w:p w14:paraId="522B39AD">
      <w:pPr>
        <w:keepNext w:val="0"/>
        <w:keepLines w:val="0"/>
        <w:pageBreakBefore w:val="0"/>
        <w:widowControl w:val="0"/>
        <w:kinsoku/>
        <w:wordWrap/>
        <w:overflowPunct/>
        <w:topLinePunct w:val="0"/>
        <w:autoSpaceDE/>
        <w:autoSpaceDN/>
        <w:bidi w:val="0"/>
        <w:adjustRightInd/>
        <w:snapToGrid w:val="0"/>
        <w:ind w:firstLine="560"/>
        <w:textAlignment w:val="auto"/>
        <w:rPr>
          <w:rFonts w:hint="eastAsia" w:eastAsia="仿宋"/>
          <w:bCs/>
          <w:color w:val="auto"/>
          <w:szCs w:val="28"/>
          <w:lang w:val="en-US" w:eastAsia="zh-CN"/>
        </w:rPr>
      </w:pPr>
      <w:r>
        <w:rPr>
          <w:rFonts w:hint="eastAsia" w:eastAsia="仿宋"/>
          <w:bCs/>
          <w:color w:val="auto"/>
          <w:szCs w:val="28"/>
        </w:rPr>
        <w:t>⑧</w:t>
      </w:r>
      <w:r>
        <w:rPr>
          <w:rFonts w:hint="eastAsia" w:eastAsia="仿宋"/>
          <w:bCs/>
          <w:color w:val="auto"/>
          <w:szCs w:val="28"/>
          <w:lang w:val="en-US" w:eastAsia="zh-CN"/>
        </w:rPr>
        <w:t>洗车池</w:t>
      </w:r>
    </w:p>
    <w:p w14:paraId="3B268CBF">
      <w:pPr>
        <w:keepNext w:val="0"/>
        <w:keepLines w:val="0"/>
        <w:pageBreakBefore w:val="0"/>
        <w:widowControl w:val="0"/>
        <w:kinsoku/>
        <w:wordWrap/>
        <w:overflowPunct/>
        <w:topLinePunct w:val="0"/>
        <w:autoSpaceDE/>
        <w:autoSpaceDN/>
        <w:bidi w:val="0"/>
        <w:adjustRightInd/>
        <w:snapToGrid w:val="0"/>
        <w:ind w:firstLine="560"/>
        <w:textAlignment w:val="auto"/>
        <w:rPr>
          <w:rFonts w:hint="eastAsia"/>
          <w:color w:val="auto"/>
          <w:szCs w:val="28"/>
          <w:lang w:eastAsia="zh-CN"/>
        </w:rPr>
      </w:pPr>
      <w:r>
        <w:rPr>
          <w:rFonts w:eastAsia="仿宋"/>
          <w:bCs/>
          <w:color w:val="auto"/>
          <w:szCs w:val="28"/>
        </w:rPr>
        <w:t>根据现场核查，</w:t>
      </w:r>
      <w:r>
        <w:rPr>
          <w:rFonts w:hint="eastAsia" w:eastAsia="仿宋"/>
          <w:bCs/>
          <w:color w:val="auto"/>
          <w:szCs w:val="28"/>
          <w:lang w:val="en-US" w:eastAsia="zh-CN"/>
        </w:rPr>
        <w:t>在</w:t>
      </w:r>
      <w:r>
        <w:rPr>
          <w:rFonts w:hint="eastAsia" w:eastAsia="仿宋"/>
          <w:bCs/>
          <w:color w:val="auto"/>
          <w:szCs w:val="28"/>
        </w:rPr>
        <w:t>施工出入口处设置洗车池</w:t>
      </w:r>
      <w:r>
        <w:rPr>
          <w:rFonts w:hint="eastAsia" w:eastAsia="仿宋"/>
          <w:bCs/>
          <w:color w:val="auto"/>
          <w:szCs w:val="28"/>
          <w:lang w:val="en-US" w:eastAsia="zh-CN"/>
        </w:rPr>
        <w:t>长</w:t>
      </w:r>
      <w:r>
        <w:rPr>
          <w:rFonts w:hint="eastAsia" w:eastAsia="仿宋"/>
          <w:bCs/>
          <w:color w:val="auto"/>
          <w:szCs w:val="28"/>
        </w:rPr>
        <w:t>8m，宽3m，深0.6m，采用C20钢筋砼结构</w:t>
      </w:r>
      <w:r>
        <w:rPr>
          <w:rFonts w:hint="eastAsia" w:eastAsia="仿宋"/>
          <w:bCs/>
          <w:color w:val="auto"/>
          <w:szCs w:val="28"/>
          <w:lang w:eastAsia="zh-CN"/>
        </w:rPr>
        <w:t>，</w:t>
      </w:r>
      <w:r>
        <w:rPr>
          <w:rFonts w:hint="eastAsia" w:eastAsia="仿宋"/>
          <w:bCs/>
          <w:color w:val="auto"/>
          <w:szCs w:val="28"/>
        </w:rPr>
        <w:t>上盖钢格板。洗车池一侧配套沉淀池</w:t>
      </w:r>
      <w:r>
        <w:rPr>
          <w:rFonts w:hint="eastAsia" w:eastAsia="仿宋"/>
          <w:bCs/>
          <w:color w:val="auto"/>
          <w:szCs w:val="28"/>
          <w:lang w:val="en-US" w:eastAsia="zh-CN"/>
        </w:rPr>
        <w:t>1</w:t>
      </w:r>
      <w:r>
        <w:rPr>
          <w:rFonts w:hint="eastAsia" w:eastAsia="仿宋"/>
          <w:bCs/>
          <w:color w:val="auto"/>
          <w:szCs w:val="28"/>
        </w:rPr>
        <w:t>口，采用矩形断面，C15砼结构，长1.8m，宽1.2m，深1m，池壁和池底采用C15 砼浇筑厚10cm。共计布设洗车池</w:t>
      </w:r>
      <w:r>
        <w:rPr>
          <w:rFonts w:hint="eastAsia" w:eastAsia="仿宋"/>
          <w:bCs/>
          <w:color w:val="auto"/>
          <w:szCs w:val="28"/>
          <w:lang w:val="en-US" w:eastAsia="zh-CN"/>
        </w:rPr>
        <w:t>1</w:t>
      </w:r>
      <w:r>
        <w:rPr>
          <w:rFonts w:hint="eastAsia" w:eastAsia="仿宋"/>
          <w:bCs/>
          <w:color w:val="auto"/>
          <w:szCs w:val="28"/>
        </w:rPr>
        <w:t>座。</w:t>
      </w:r>
      <w:r>
        <w:rPr>
          <w:rFonts w:eastAsia="仿宋"/>
          <w:bCs/>
          <w:color w:val="auto"/>
          <w:szCs w:val="28"/>
        </w:rPr>
        <w:t>与水土保持方案设计相比，</w:t>
      </w:r>
      <w:r>
        <w:rPr>
          <w:rFonts w:hint="eastAsia" w:eastAsia="仿宋"/>
          <w:bCs/>
          <w:color w:val="auto"/>
          <w:szCs w:val="28"/>
          <w:lang w:val="en-US" w:eastAsia="zh-CN"/>
        </w:rPr>
        <w:t>密洗车池</w:t>
      </w:r>
      <w:r>
        <w:rPr>
          <w:rFonts w:eastAsia="仿宋"/>
          <w:bCs/>
          <w:color w:val="auto"/>
          <w:szCs w:val="28"/>
        </w:rPr>
        <w:t>数量</w:t>
      </w:r>
      <w:r>
        <w:rPr>
          <w:rFonts w:hint="eastAsia" w:eastAsia="仿宋"/>
          <w:bCs/>
          <w:color w:val="auto"/>
          <w:szCs w:val="28"/>
          <w:lang w:val="en-US" w:eastAsia="zh-CN"/>
        </w:rPr>
        <w:t>不变</w:t>
      </w:r>
      <w:r>
        <w:rPr>
          <w:rFonts w:eastAsia="仿宋"/>
          <w:bCs/>
          <w:color w:val="auto"/>
          <w:szCs w:val="28"/>
        </w:rPr>
        <w:t>。</w:t>
      </w:r>
    </w:p>
    <w:p w14:paraId="1F77DE3C">
      <w:pPr>
        <w:pStyle w:val="20"/>
        <w:rPr>
          <w:color w:val="auto"/>
        </w:rPr>
      </w:pPr>
      <w:r>
        <w:rPr>
          <w:color w:val="auto"/>
        </w:rPr>
        <w:t>表</w:t>
      </w:r>
      <w:r>
        <w:rPr>
          <w:rFonts w:hint="eastAsia"/>
          <w:color w:val="auto"/>
        </w:rPr>
        <w:t>3</w:t>
      </w:r>
      <w:r>
        <w:rPr>
          <w:rFonts w:hint="eastAsia"/>
          <w:color w:val="auto"/>
          <w:lang w:val="en-US" w:eastAsia="zh-CN"/>
        </w:rPr>
        <w:t>.5-7</w:t>
      </w:r>
      <w:r>
        <w:rPr>
          <w:color w:val="auto"/>
        </w:rPr>
        <w:t xml:space="preserve"> 主体工程</w:t>
      </w:r>
      <w:r>
        <w:rPr>
          <w:rFonts w:hint="eastAsia"/>
          <w:color w:val="auto"/>
          <w:lang w:val="en-US" w:eastAsia="zh-CN"/>
        </w:rPr>
        <w:t>防治区</w:t>
      </w:r>
      <w:r>
        <w:rPr>
          <w:rFonts w:hint="eastAsia"/>
          <w:color w:val="auto"/>
        </w:rPr>
        <w:t>临时</w:t>
      </w:r>
      <w:r>
        <w:rPr>
          <w:color w:val="auto"/>
        </w:rPr>
        <w:t>措施情况表</w:t>
      </w:r>
    </w:p>
    <w:tbl>
      <w:tblPr>
        <w:tblStyle w:val="14"/>
        <w:tblpPr w:leftFromText="180" w:rightFromText="180" w:vertAnchor="text" w:tblpXSpec="center" w:tblpY="1"/>
        <w:tblOverlap w:val="never"/>
        <w:tblW w:w="518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78"/>
        <w:gridCol w:w="1972"/>
        <w:gridCol w:w="1094"/>
        <w:gridCol w:w="1409"/>
        <w:gridCol w:w="1440"/>
        <w:gridCol w:w="2090"/>
      </w:tblGrid>
      <w:tr w14:paraId="517679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3" w:type="pct"/>
            <w:vAlign w:val="center"/>
          </w:tcPr>
          <w:p w14:paraId="3986C276">
            <w:pPr>
              <w:pStyle w:val="18"/>
              <w:jc w:val="center"/>
              <w:rPr>
                <w:b/>
                <w:bCs/>
                <w:color w:val="auto"/>
              </w:rPr>
            </w:pPr>
            <w:r>
              <w:rPr>
                <w:b/>
                <w:bCs/>
                <w:color w:val="auto"/>
              </w:rPr>
              <w:t>序号</w:t>
            </w:r>
          </w:p>
        </w:tc>
        <w:tc>
          <w:tcPr>
            <w:tcW w:w="1085" w:type="pct"/>
            <w:vAlign w:val="center"/>
          </w:tcPr>
          <w:p w14:paraId="2E7E75DD">
            <w:pPr>
              <w:pStyle w:val="18"/>
              <w:jc w:val="center"/>
              <w:rPr>
                <w:b/>
                <w:bCs/>
                <w:color w:val="auto"/>
              </w:rPr>
            </w:pPr>
            <w:r>
              <w:rPr>
                <w:b/>
                <w:bCs/>
                <w:color w:val="auto"/>
              </w:rPr>
              <w:t>防护措施</w:t>
            </w:r>
          </w:p>
        </w:tc>
        <w:tc>
          <w:tcPr>
            <w:tcW w:w="602" w:type="pct"/>
            <w:vAlign w:val="center"/>
          </w:tcPr>
          <w:p w14:paraId="1607220A">
            <w:pPr>
              <w:pStyle w:val="18"/>
              <w:jc w:val="center"/>
              <w:rPr>
                <w:b/>
                <w:bCs/>
                <w:color w:val="auto"/>
              </w:rPr>
            </w:pPr>
            <w:r>
              <w:rPr>
                <w:b/>
                <w:bCs/>
                <w:color w:val="auto"/>
              </w:rPr>
              <w:t>单位</w:t>
            </w:r>
          </w:p>
        </w:tc>
        <w:tc>
          <w:tcPr>
            <w:tcW w:w="775" w:type="pct"/>
            <w:vAlign w:val="center"/>
          </w:tcPr>
          <w:p w14:paraId="704F1FCF">
            <w:pPr>
              <w:pStyle w:val="18"/>
              <w:jc w:val="center"/>
              <w:rPr>
                <w:b/>
                <w:bCs/>
                <w:color w:val="auto"/>
              </w:rPr>
            </w:pPr>
            <w:r>
              <w:rPr>
                <w:b/>
                <w:bCs/>
                <w:color w:val="auto"/>
              </w:rPr>
              <w:t>方案设计工程量</w:t>
            </w:r>
          </w:p>
        </w:tc>
        <w:tc>
          <w:tcPr>
            <w:tcW w:w="792" w:type="pct"/>
            <w:vAlign w:val="center"/>
          </w:tcPr>
          <w:p w14:paraId="3D555502">
            <w:pPr>
              <w:pStyle w:val="18"/>
              <w:jc w:val="center"/>
              <w:rPr>
                <w:b/>
                <w:bCs/>
                <w:color w:val="auto"/>
              </w:rPr>
            </w:pPr>
            <w:r>
              <w:rPr>
                <w:b/>
                <w:bCs/>
                <w:color w:val="auto"/>
              </w:rPr>
              <w:t>实际完成工程量</w:t>
            </w:r>
          </w:p>
        </w:tc>
        <w:tc>
          <w:tcPr>
            <w:tcW w:w="1150" w:type="pct"/>
            <w:vAlign w:val="center"/>
          </w:tcPr>
          <w:p w14:paraId="27F12F94">
            <w:pPr>
              <w:pStyle w:val="18"/>
              <w:jc w:val="center"/>
              <w:rPr>
                <w:b/>
                <w:bCs/>
                <w:color w:val="auto"/>
              </w:rPr>
            </w:pPr>
            <w:r>
              <w:rPr>
                <w:rFonts w:hint="eastAsia"/>
                <w:b/>
                <w:bCs/>
                <w:color w:val="auto"/>
              </w:rPr>
              <w:t>增减情况（+/-）</w:t>
            </w:r>
          </w:p>
        </w:tc>
      </w:tr>
      <w:tr w14:paraId="0DF688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78" w:type="dxa"/>
            <w:vAlign w:val="center"/>
          </w:tcPr>
          <w:p w14:paraId="540EE15D">
            <w:pPr>
              <w:pStyle w:val="18"/>
              <w:ind w:firstLine="0" w:firstLineChars="0"/>
              <w:jc w:val="center"/>
              <w:rPr>
                <w:color w:val="auto"/>
              </w:rPr>
            </w:pPr>
            <w:r>
              <w:rPr>
                <w:color w:val="auto"/>
              </w:rPr>
              <w:t>1</w:t>
            </w:r>
          </w:p>
        </w:tc>
        <w:tc>
          <w:tcPr>
            <w:tcW w:w="1972" w:type="dxa"/>
            <w:vAlign w:val="center"/>
          </w:tcPr>
          <w:p w14:paraId="26EF96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ascii="Times New Roman" w:hAnsi="Times New Roman" w:cs="Times New Roman"/>
                <w:kern w:val="0"/>
                <w:sz w:val="24"/>
                <w:szCs w:val="24"/>
              </w:rPr>
              <w:t>基坑截水沟</w:t>
            </w:r>
          </w:p>
        </w:tc>
        <w:tc>
          <w:tcPr>
            <w:tcW w:w="1094" w:type="dxa"/>
            <w:vAlign w:val="center"/>
          </w:tcPr>
          <w:p w14:paraId="010DCF5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kern w:val="0"/>
                <w:sz w:val="24"/>
                <w:szCs w:val="24"/>
              </w:rPr>
              <w:t>m</w:t>
            </w:r>
          </w:p>
        </w:tc>
        <w:tc>
          <w:tcPr>
            <w:tcW w:w="1409" w:type="dxa"/>
            <w:vAlign w:val="center"/>
          </w:tcPr>
          <w:p w14:paraId="65B4A2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ascii="Times New Roman" w:hAnsi="Times New Roman" w:cs="Times New Roman"/>
                <w:color w:val="auto"/>
                <w:sz w:val="24"/>
                <w:szCs w:val="24"/>
                <w:lang w:val="en-US" w:eastAsia="zh-CN"/>
              </w:rPr>
              <w:t>596</w:t>
            </w:r>
          </w:p>
        </w:tc>
        <w:tc>
          <w:tcPr>
            <w:tcW w:w="1440" w:type="dxa"/>
            <w:vAlign w:val="center"/>
          </w:tcPr>
          <w:p w14:paraId="3D4642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ascii="Times New Roman" w:hAnsi="Times New Roman" w:cs="Times New Roman"/>
                <w:color w:val="auto"/>
                <w:sz w:val="24"/>
                <w:szCs w:val="24"/>
                <w:lang w:val="en-US" w:eastAsia="zh-CN"/>
              </w:rPr>
              <w:t>596</w:t>
            </w:r>
          </w:p>
        </w:tc>
        <w:tc>
          <w:tcPr>
            <w:tcW w:w="2090" w:type="dxa"/>
            <w:vAlign w:val="center"/>
          </w:tcPr>
          <w:p w14:paraId="1C96C0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color w:val="auto"/>
                <w:sz w:val="24"/>
                <w:szCs w:val="24"/>
                <w:lang w:val="en-US" w:eastAsia="zh-CN"/>
              </w:rPr>
              <w:t>0</w:t>
            </w:r>
          </w:p>
        </w:tc>
      </w:tr>
      <w:tr w14:paraId="4940CB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78" w:type="dxa"/>
            <w:vAlign w:val="center"/>
          </w:tcPr>
          <w:p w14:paraId="340D3FE6">
            <w:pPr>
              <w:pStyle w:val="18"/>
              <w:ind w:firstLine="0" w:firstLineChars="0"/>
              <w:jc w:val="center"/>
              <w:rPr>
                <w:color w:val="auto"/>
              </w:rPr>
            </w:pPr>
            <w:r>
              <w:rPr>
                <w:color w:val="auto"/>
              </w:rPr>
              <w:t>2</w:t>
            </w:r>
          </w:p>
        </w:tc>
        <w:tc>
          <w:tcPr>
            <w:tcW w:w="1972" w:type="dxa"/>
            <w:vAlign w:val="center"/>
          </w:tcPr>
          <w:p w14:paraId="692C7D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ascii="Times New Roman" w:hAnsi="Times New Roman" w:cs="Times New Roman"/>
                <w:kern w:val="0"/>
                <w:sz w:val="24"/>
                <w:szCs w:val="24"/>
              </w:rPr>
              <w:t>基坑</w:t>
            </w:r>
            <w:r>
              <w:rPr>
                <w:rFonts w:hint="eastAsia" w:ascii="Times New Roman" w:hAnsi="Times New Roman" w:cs="Times New Roman"/>
                <w:kern w:val="0"/>
                <w:sz w:val="24"/>
                <w:szCs w:val="24"/>
                <w:lang w:val="en-US" w:eastAsia="zh-CN"/>
              </w:rPr>
              <w:t>集</w:t>
            </w:r>
            <w:r>
              <w:rPr>
                <w:rFonts w:hint="eastAsia" w:ascii="Times New Roman" w:hAnsi="Times New Roman" w:cs="Times New Roman"/>
                <w:kern w:val="0"/>
                <w:sz w:val="24"/>
                <w:szCs w:val="24"/>
              </w:rPr>
              <w:t>水沟</w:t>
            </w:r>
          </w:p>
        </w:tc>
        <w:tc>
          <w:tcPr>
            <w:tcW w:w="1094" w:type="dxa"/>
            <w:vAlign w:val="center"/>
          </w:tcPr>
          <w:p w14:paraId="129B0B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kern w:val="0"/>
                <w:sz w:val="24"/>
                <w:szCs w:val="24"/>
              </w:rPr>
              <w:t>m</w:t>
            </w:r>
          </w:p>
        </w:tc>
        <w:tc>
          <w:tcPr>
            <w:tcW w:w="1409" w:type="dxa"/>
            <w:vAlign w:val="center"/>
          </w:tcPr>
          <w:p w14:paraId="5503FA9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ascii="Times New Roman" w:hAnsi="Times New Roman" w:cs="Times New Roman"/>
                <w:color w:val="auto"/>
                <w:sz w:val="24"/>
                <w:szCs w:val="24"/>
                <w:lang w:val="en-US" w:eastAsia="zh-CN"/>
              </w:rPr>
              <w:t>562</w:t>
            </w:r>
          </w:p>
        </w:tc>
        <w:tc>
          <w:tcPr>
            <w:tcW w:w="1440" w:type="dxa"/>
            <w:vAlign w:val="center"/>
          </w:tcPr>
          <w:p w14:paraId="2C0C33F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ascii="Times New Roman" w:hAnsi="Times New Roman" w:cs="Times New Roman"/>
                <w:color w:val="auto"/>
                <w:sz w:val="24"/>
                <w:szCs w:val="24"/>
                <w:lang w:val="en-US" w:eastAsia="zh-CN"/>
              </w:rPr>
              <w:t>562</w:t>
            </w:r>
          </w:p>
        </w:tc>
        <w:tc>
          <w:tcPr>
            <w:tcW w:w="2090" w:type="dxa"/>
            <w:vAlign w:val="center"/>
          </w:tcPr>
          <w:p w14:paraId="576714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color w:val="auto"/>
                <w:sz w:val="24"/>
                <w:szCs w:val="24"/>
              </w:rPr>
            </w:pPr>
            <w:r>
              <w:rPr>
                <w:rFonts w:hint="eastAsia"/>
                <w:color w:val="auto"/>
                <w:sz w:val="24"/>
                <w:szCs w:val="24"/>
                <w:lang w:val="en-US" w:eastAsia="zh-CN"/>
              </w:rPr>
              <w:t>0</w:t>
            </w:r>
          </w:p>
        </w:tc>
      </w:tr>
      <w:tr w14:paraId="672E21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78" w:type="dxa"/>
            <w:vAlign w:val="center"/>
          </w:tcPr>
          <w:p w14:paraId="3F899F2C">
            <w:pPr>
              <w:pStyle w:val="18"/>
              <w:ind w:firstLine="0" w:firstLineChars="0"/>
              <w:jc w:val="center"/>
              <w:rPr>
                <w:color w:val="auto"/>
              </w:rPr>
            </w:pPr>
            <w:r>
              <w:rPr>
                <w:color w:val="auto"/>
              </w:rPr>
              <w:t>3</w:t>
            </w:r>
          </w:p>
        </w:tc>
        <w:tc>
          <w:tcPr>
            <w:tcW w:w="1972" w:type="dxa"/>
            <w:vAlign w:val="center"/>
          </w:tcPr>
          <w:p w14:paraId="613701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sz w:val="24"/>
                <w:szCs w:val="24"/>
              </w:rPr>
              <w:t>集水井</w:t>
            </w:r>
          </w:p>
        </w:tc>
        <w:tc>
          <w:tcPr>
            <w:tcW w:w="1094" w:type="dxa"/>
            <w:vAlign w:val="center"/>
          </w:tcPr>
          <w:p w14:paraId="6E80761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eastAsia="仿宋"/>
                <w:kern w:val="0"/>
                <w:sz w:val="24"/>
                <w:szCs w:val="24"/>
                <w:lang w:val="en-US" w:eastAsia="zh-CN"/>
              </w:rPr>
              <w:t>座</w:t>
            </w:r>
          </w:p>
        </w:tc>
        <w:tc>
          <w:tcPr>
            <w:tcW w:w="1409" w:type="dxa"/>
            <w:vAlign w:val="center"/>
          </w:tcPr>
          <w:p w14:paraId="614F72B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sz w:val="24"/>
                <w:szCs w:val="24"/>
                <w:lang w:val="en-US" w:eastAsia="zh-CN"/>
              </w:rPr>
            </w:pPr>
            <w:r>
              <w:rPr>
                <w:rFonts w:hint="eastAsia" w:ascii="Times New Roman" w:hAnsi="Times New Roman" w:cs="Times New Roman"/>
                <w:color w:val="auto"/>
                <w:sz w:val="24"/>
                <w:szCs w:val="24"/>
                <w:lang w:val="en-US" w:eastAsia="zh-CN"/>
              </w:rPr>
              <w:t>14</w:t>
            </w:r>
          </w:p>
        </w:tc>
        <w:tc>
          <w:tcPr>
            <w:tcW w:w="1440" w:type="dxa"/>
            <w:vAlign w:val="center"/>
          </w:tcPr>
          <w:p w14:paraId="1E9853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 w:val="24"/>
                <w:szCs w:val="24"/>
                <w:lang w:eastAsia="zh-CN"/>
              </w:rPr>
            </w:pPr>
            <w:r>
              <w:rPr>
                <w:rFonts w:hint="eastAsia" w:ascii="Times New Roman" w:hAnsi="Times New Roman" w:cs="Times New Roman"/>
                <w:color w:val="auto"/>
                <w:sz w:val="24"/>
                <w:szCs w:val="24"/>
                <w:lang w:val="en-US" w:eastAsia="zh-CN"/>
              </w:rPr>
              <w:t>14</w:t>
            </w:r>
          </w:p>
        </w:tc>
        <w:tc>
          <w:tcPr>
            <w:tcW w:w="2090" w:type="dxa"/>
            <w:vAlign w:val="center"/>
          </w:tcPr>
          <w:p w14:paraId="212D2E4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 w:val="24"/>
                <w:szCs w:val="24"/>
                <w:lang w:eastAsia="zh-CN"/>
              </w:rPr>
            </w:pPr>
            <w:r>
              <w:rPr>
                <w:rFonts w:hint="eastAsia"/>
                <w:color w:val="auto"/>
                <w:sz w:val="24"/>
                <w:szCs w:val="24"/>
                <w:lang w:val="en-US" w:eastAsia="zh-CN"/>
              </w:rPr>
              <w:t>0</w:t>
            </w:r>
          </w:p>
        </w:tc>
      </w:tr>
      <w:tr w14:paraId="41B823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7AE6AF49">
            <w:pPr>
              <w:pStyle w:val="18"/>
              <w:ind w:firstLine="0" w:firstLineChars="0"/>
              <w:jc w:val="center"/>
              <w:rPr>
                <w:rFonts w:hint="eastAsia" w:eastAsia="仿宋_GB2312"/>
                <w:color w:val="auto"/>
                <w:lang w:eastAsia="zh-CN"/>
              </w:rPr>
            </w:pPr>
            <w:r>
              <w:rPr>
                <w:rFonts w:hint="eastAsia" w:eastAsia="仿宋"/>
                <w:color w:val="auto"/>
                <w:lang w:val="en-US" w:eastAsia="zh-CN"/>
              </w:rPr>
              <w:t>4</w:t>
            </w:r>
          </w:p>
        </w:tc>
        <w:tc>
          <w:tcPr>
            <w:tcW w:w="1972" w:type="dxa"/>
            <w:vAlign w:val="center"/>
          </w:tcPr>
          <w:p w14:paraId="1BB1D1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kern w:val="0"/>
                <w:sz w:val="24"/>
                <w:szCs w:val="24"/>
              </w:rPr>
              <w:t>沉沙池</w:t>
            </w:r>
          </w:p>
        </w:tc>
        <w:tc>
          <w:tcPr>
            <w:tcW w:w="1094" w:type="dxa"/>
            <w:vAlign w:val="center"/>
          </w:tcPr>
          <w:p w14:paraId="60BD2D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lang w:val="en-US" w:eastAsia="zh-CN"/>
              </w:rPr>
            </w:pPr>
            <w:r>
              <w:rPr>
                <w:rFonts w:hint="eastAsia"/>
                <w:kern w:val="0"/>
                <w:sz w:val="24"/>
                <w:szCs w:val="24"/>
              </w:rPr>
              <w:t>座</w:t>
            </w:r>
          </w:p>
        </w:tc>
        <w:tc>
          <w:tcPr>
            <w:tcW w:w="1409" w:type="dxa"/>
            <w:vAlign w:val="center"/>
          </w:tcPr>
          <w:p w14:paraId="1420CF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 w:val="24"/>
                <w:szCs w:val="24"/>
                <w:lang w:val="en-US" w:eastAsia="zh-CN"/>
              </w:rPr>
            </w:pPr>
            <w:r>
              <w:rPr>
                <w:rFonts w:hint="eastAsia" w:ascii="Times New Roman" w:hAnsi="Times New Roman" w:cs="Times New Roman"/>
                <w:color w:val="auto"/>
                <w:sz w:val="24"/>
                <w:szCs w:val="24"/>
                <w:lang w:val="en-US" w:eastAsia="zh-CN"/>
              </w:rPr>
              <w:t>2</w:t>
            </w:r>
          </w:p>
        </w:tc>
        <w:tc>
          <w:tcPr>
            <w:tcW w:w="1440" w:type="dxa"/>
            <w:vAlign w:val="center"/>
          </w:tcPr>
          <w:p w14:paraId="4EE520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ascii="Times New Roman" w:hAnsi="Times New Roman" w:cs="Times New Roman"/>
                <w:color w:val="auto"/>
                <w:sz w:val="24"/>
                <w:szCs w:val="24"/>
                <w:lang w:val="en-US" w:eastAsia="zh-CN"/>
              </w:rPr>
              <w:t>2</w:t>
            </w:r>
          </w:p>
        </w:tc>
        <w:tc>
          <w:tcPr>
            <w:tcW w:w="2090" w:type="dxa"/>
            <w:vAlign w:val="center"/>
          </w:tcPr>
          <w:p w14:paraId="0C103DB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Times New Roman" w:hAnsi="Times New Roman" w:eastAsia="仿宋_GB2312" w:cs="Times New Roman"/>
                <w:color w:val="auto"/>
                <w:kern w:val="2"/>
                <w:sz w:val="24"/>
                <w:szCs w:val="24"/>
                <w:lang w:val="en-US" w:eastAsia="zh-CN" w:bidi="ar-SA"/>
              </w:rPr>
            </w:pPr>
            <w:r>
              <w:rPr>
                <w:rFonts w:hint="eastAsia"/>
                <w:color w:val="auto"/>
                <w:sz w:val="24"/>
                <w:szCs w:val="24"/>
                <w:lang w:val="en-US" w:eastAsia="zh-CN"/>
              </w:rPr>
              <w:t>0</w:t>
            </w:r>
          </w:p>
        </w:tc>
      </w:tr>
      <w:tr w14:paraId="7E323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204B2AE1">
            <w:pPr>
              <w:pStyle w:val="18"/>
              <w:ind w:firstLine="0" w:firstLineChars="0"/>
              <w:jc w:val="center"/>
              <w:rPr>
                <w:rFonts w:hint="eastAsia"/>
                <w:color w:val="auto"/>
                <w:lang w:val="en-US" w:eastAsia="zh-CN"/>
              </w:rPr>
            </w:pPr>
            <w:r>
              <w:rPr>
                <w:rFonts w:hint="eastAsia" w:eastAsia="仿宋"/>
                <w:color w:val="auto"/>
                <w:lang w:val="en-US" w:eastAsia="zh-CN"/>
              </w:rPr>
              <w:t>5</w:t>
            </w:r>
          </w:p>
        </w:tc>
        <w:tc>
          <w:tcPr>
            <w:tcW w:w="1972" w:type="dxa"/>
            <w:vAlign w:val="center"/>
          </w:tcPr>
          <w:p w14:paraId="354F4B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排水沟</w:t>
            </w:r>
          </w:p>
        </w:tc>
        <w:tc>
          <w:tcPr>
            <w:tcW w:w="1094" w:type="dxa"/>
            <w:vAlign w:val="center"/>
          </w:tcPr>
          <w:p w14:paraId="38303A6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kern w:val="0"/>
                <w:sz w:val="24"/>
                <w:szCs w:val="24"/>
              </w:rPr>
              <w:t>m</w:t>
            </w:r>
          </w:p>
        </w:tc>
        <w:tc>
          <w:tcPr>
            <w:tcW w:w="1409" w:type="dxa"/>
            <w:vAlign w:val="center"/>
          </w:tcPr>
          <w:p w14:paraId="383B6F6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643.50</w:t>
            </w:r>
          </w:p>
        </w:tc>
        <w:tc>
          <w:tcPr>
            <w:tcW w:w="1440" w:type="dxa"/>
            <w:vAlign w:val="center"/>
          </w:tcPr>
          <w:p w14:paraId="0F810E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643.50</w:t>
            </w:r>
          </w:p>
        </w:tc>
        <w:tc>
          <w:tcPr>
            <w:tcW w:w="2090" w:type="dxa"/>
            <w:vAlign w:val="center"/>
          </w:tcPr>
          <w:p w14:paraId="4A2F796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0</w:t>
            </w:r>
          </w:p>
        </w:tc>
      </w:tr>
      <w:tr w14:paraId="3591CE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2E4C15C9">
            <w:pPr>
              <w:pStyle w:val="18"/>
              <w:ind w:firstLine="0" w:firstLineChars="0"/>
              <w:jc w:val="center"/>
              <w:rPr>
                <w:rFonts w:hint="eastAsia"/>
                <w:color w:val="auto"/>
                <w:lang w:val="en-US" w:eastAsia="zh-CN"/>
              </w:rPr>
            </w:pPr>
            <w:r>
              <w:rPr>
                <w:rFonts w:hint="eastAsia" w:eastAsia="仿宋"/>
                <w:color w:val="auto"/>
                <w:lang w:val="en-US" w:eastAsia="zh-CN"/>
              </w:rPr>
              <w:t>6</w:t>
            </w:r>
          </w:p>
        </w:tc>
        <w:tc>
          <w:tcPr>
            <w:tcW w:w="1972" w:type="dxa"/>
            <w:vAlign w:val="center"/>
          </w:tcPr>
          <w:p w14:paraId="5272B0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泥浆沉淀池</w:t>
            </w:r>
          </w:p>
        </w:tc>
        <w:tc>
          <w:tcPr>
            <w:tcW w:w="1094" w:type="dxa"/>
            <w:vAlign w:val="center"/>
          </w:tcPr>
          <w:p w14:paraId="5C5ABB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口</w:t>
            </w:r>
          </w:p>
        </w:tc>
        <w:tc>
          <w:tcPr>
            <w:tcW w:w="1409" w:type="dxa"/>
            <w:vAlign w:val="center"/>
          </w:tcPr>
          <w:p w14:paraId="645A48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20</w:t>
            </w:r>
          </w:p>
        </w:tc>
        <w:tc>
          <w:tcPr>
            <w:tcW w:w="1440" w:type="dxa"/>
            <w:vAlign w:val="center"/>
          </w:tcPr>
          <w:p w14:paraId="0920C7B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20</w:t>
            </w:r>
          </w:p>
        </w:tc>
        <w:tc>
          <w:tcPr>
            <w:tcW w:w="2090" w:type="dxa"/>
            <w:vAlign w:val="center"/>
          </w:tcPr>
          <w:p w14:paraId="19B731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0</w:t>
            </w:r>
          </w:p>
        </w:tc>
      </w:tr>
      <w:tr w14:paraId="693C76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1BF574E0">
            <w:pPr>
              <w:pStyle w:val="18"/>
              <w:ind w:firstLine="0" w:firstLineChars="0"/>
              <w:jc w:val="center"/>
              <w:rPr>
                <w:rFonts w:hint="eastAsia"/>
                <w:color w:val="auto"/>
                <w:lang w:val="en-US" w:eastAsia="zh-CN"/>
              </w:rPr>
            </w:pPr>
            <w:r>
              <w:rPr>
                <w:rFonts w:hint="eastAsia" w:eastAsia="仿宋"/>
                <w:color w:val="auto"/>
                <w:lang w:val="en-US" w:eastAsia="zh-CN"/>
              </w:rPr>
              <w:t>7</w:t>
            </w:r>
          </w:p>
        </w:tc>
        <w:tc>
          <w:tcPr>
            <w:tcW w:w="1972" w:type="dxa"/>
            <w:vAlign w:val="center"/>
          </w:tcPr>
          <w:p w14:paraId="30CFEB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苫盖密目网</w:t>
            </w:r>
          </w:p>
        </w:tc>
        <w:tc>
          <w:tcPr>
            <w:tcW w:w="1094" w:type="dxa"/>
            <w:vAlign w:val="center"/>
          </w:tcPr>
          <w:p w14:paraId="1A65D99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m</w:t>
            </w:r>
            <w:r>
              <w:rPr>
                <w:rFonts w:hint="eastAsia"/>
                <w:kern w:val="0"/>
                <w:sz w:val="24"/>
                <w:szCs w:val="24"/>
                <w:vertAlign w:val="superscript"/>
                <w:lang w:val="en-US" w:eastAsia="zh-CN"/>
              </w:rPr>
              <w:t>2</w:t>
            </w:r>
          </w:p>
        </w:tc>
        <w:tc>
          <w:tcPr>
            <w:tcW w:w="1409" w:type="dxa"/>
            <w:vAlign w:val="center"/>
          </w:tcPr>
          <w:p w14:paraId="54F1A21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3000</w:t>
            </w:r>
          </w:p>
        </w:tc>
        <w:tc>
          <w:tcPr>
            <w:tcW w:w="1440" w:type="dxa"/>
            <w:vAlign w:val="center"/>
          </w:tcPr>
          <w:p w14:paraId="62EFAF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3200</w:t>
            </w:r>
          </w:p>
        </w:tc>
        <w:tc>
          <w:tcPr>
            <w:tcW w:w="2090" w:type="dxa"/>
            <w:vAlign w:val="center"/>
          </w:tcPr>
          <w:p w14:paraId="0956512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+200</w:t>
            </w:r>
          </w:p>
        </w:tc>
      </w:tr>
      <w:tr w14:paraId="5F203A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078" w:type="dxa"/>
            <w:vAlign w:val="center"/>
          </w:tcPr>
          <w:p w14:paraId="7BBBC507">
            <w:pPr>
              <w:pStyle w:val="18"/>
              <w:ind w:firstLine="0" w:firstLineChars="0"/>
              <w:jc w:val="center"/>
              <w:rPr>
                <w:rFonts w:hint="eastAsia"/>
                <w:color w:val="auto"/>
                <w:lang w:val="en-US" w:eastAsia="zh-CN"/>
              </w:rPr>
            </w:pPr>
            <w:r>
              <w:rPr>
                <w:rFonts w:hint="eastAsia" w:eastAsia="仿宋"/>
                <w:color w:val="auto"/>
                <w:lang w:val="en-US" w:eastAsia="zh-CN"/>
              </w:rPr>
              <w:t>8</w:t>
            </w:r>
          </w:p>
        </w:tc>
        <w:tc>
          <w:tcPr>
            <w:tcW w:w="1972" w:type="dxa"/>
            <w:vAlign w:val="center"/>
          </w:tcPr>
          <w:p w14:paraId="20F5587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洗车池</w:t>
            </w:r>
          </w:p>
        </w:tc>
        <w:tc>
          <w:tcPr>
            <w:tcW w:w="1094" w:type="dxa"/>
            <w:vAlign w:val="center"/>
          </w:tcPr>
          <w:p w14:paraId="4FCE972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kern w:val="0"/>
                <w:sz w:val="24"/>
                <w:szCs w:val="24"/>
              </w:rPr>
            </w:pPr>
            <w:r>
              <w:rPr>
                <w:rFonts w:hint="eastAsia"/>
                <w:kern w:val="0"/>
                <w:sz w:val="24"/>
                <w:szCs w:val="24"/>
                <w:lang w:val="en-US" w:eastAsia="zh-CN"/>
              </w:rPr>
              <w:t>座</w:t>
            </w:r>
          </w:p>
        </w:tc>
        <w:tc>
          <w:tcPr>
            <w:tcW w:w="1409" w:type="dxa"/>
            <w:vAlign w:val="center"/>
          </w:tcPr>
          <w:p w14:paraId="3D0C15D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1</w:t>
            </w:r>
          </w:p>
        </w:tc>
        <w:tc>
          <w:tcPr>
            <w:tcW w:w="1440" w:type="dxa"/>
            <w:vAlign w:val="center"/>
          </w:tcPr>
          <w:p w14:paraId="36BF14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ascii="Times New Roman" w:hAnsi="Times New Roman" w:cs="Times New Roman"/>
                <w:color w:val="auto"/>
                <w:sz w:val="24"/>
                <w:szCs w:val="24"/>
                <w:lang w:val="en-US" w:eastAsia="zh-CN"/>
              </w:rPr>
              <w:t>1</w:t>
            </w:r>
          </w:p>
        </w:tc>
        <w:tc>
          <w:tcPr>
            <w:tcW w:w="2090" w:type="dxa"/>
            <w:vAlign w:val="center"/>
          </w:tcPr>
          <w:p w14:paraId="67C404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sz w:val="24"/>
                <w:szCs w:val="24"/>
              </w:rPr>
            </w:pPr>
            <w:r>
              <w:rPr>
                <w:rFonts w:hint="eastAsia"/>
                <w:color w:val="auto"/>
                <w:sz w:val="24"/>
                <w:szCs w:val="24"/>
                <w:lang w:val="en-US" w:eastAsia="zh-CN"/>
              </w:rPr>
              <w:t>0</w:t>
            </w:r>
          </w:p>
        </w:tc>
      </w:tr>
    </w:tbl>
    <w:p w14:paraId="1D63E7CB">
      <w:pPr>
        <w:pStyle w:val="5"/>
        <w:widowControl/>
        <w:rPr>
          <w:rFonts w:hint="eastAsia" w:eastAsia="仿宋"/>
          <w:color w:val="auto"/>
          <w:kern w:val="0"/>
          <w:lang w:eastAsia="zh-CN"/>
        </w:rPr>
      </w:pPr>
      <w:r>
        <w:rPr>
          <w:rFonts w:eastAsia="仿宋"/>
          <w:color w:val="auto"/>
          <w:kern w:val="0"/>
        </w:rPr>
        <w:t>3.5.3.</w:t>
      </w:r>
      <w:r>
        <w:rPr>
          <w:rFonts w:hint="eastAsia" w:eastAsia="仿宋"/>
          <w:color w:val="auto"/>
          <w:kern w:val="0"/>
        </w:rPr>
        <w:t>2</w:t>
      </w:r>
      <w:r>
        <w:rPr>
          <w:rFonts w:hint="eastAsia" w:eastAsia="仿宋"/>
          <w:color w:val="auto"/>
          <w:kern w:val="0"/>
          <w:lang w:val="en-US" w:eastAsia="zh-CN"/>
        </w:rPr>
        <w:t>施工生产生活防治</w:t>
      </w:r>
      <w:r>
        <w:rPr>
          <w:rFonts w:hint="eastAsia" w:eastAsia="仿宋"/>
          <w:color w:val="auto"/>
          <w:kern w:val="0"/>
          <w:lang w:eastAsia="zh-CN"/>
        </w:rPr>
        <w:t>区</w:t>
      </w:r>
    </w:p>
    <w:p w14:paraId="7BD1F34B">
      <w:pPr>
        <w:adjustRightInd w:val="0"/>
        <w:snapToGrid w:val="0"/>
        <w:ind w:firstLine="560"/>
        <w:rPr>
          <w:rFonts w:hint="eastAsia" w:eastAsia="仿宋"/>
          <w:bCs/>
          <w:color w:val="auto"/>
          <w:szCs w:val="28"/>
          <w:lang w:eastAsia="zh-CN"/>
        </w:rPr>
      </w:pPr>
      <w:r>
        <w:rPr>
          <w:rFonts w:eastAsia="仿宋"/>
          <w:bCs/>
          <w:color w:val="auto"/>
          <w:szCs w:val="28"/>
        </w:rPr>
        <w:t>①</w:t>
      </w:r>
      <w:r>
        <w:rPr>
          <w:rFonts w:hint="eastAsia" w:eastAsia="仿宋"/>
          <w:bCs/>
          <w:color w:val="auto"/>
          <w:szCs w:val="28"/>
          <w:lang w:val="en-US" w:eastAsia="zh-CN"/>
        </w:rPr>
        <w:t>排水沟</w:t>
      </w:r>
    </w:p>
    <w:p w14:paraId="7B076843">
      <w:pPr>
        <w:adjustRightInd w:val="0"/>
        <w:snapToGrid w:val="0"/>
        <w:ind w:firstLine="560"/>
        <w:rPr>
          <w:rFonts w:eastAsia="仿宋"/>
          <w:bCs/>
          <w:color w:val="auto"/>
          <w:szCs w:val="28"/>
        </w:rPr>
      </w:pPr>
      <w:r>
        <w:rPr>
          <w:rFonts w:hint="eastAsia" w:eastAsia="仿宋"/>
          <w:bCs/>
          <w:color w:val="auto"/>
          <w:szCs w:val="28"/>
        </w:rPr>
        <w:t>根据现场核查，在施工生产生活区周围布设排水沟，采用矩形断面，M7.5浆砌砖结构，底宽30cm，沟深30cm，沟壁砖砌厚12cm，M10水泥砂浆抹面2cm，沟底采用C15素砼浇筑厚10cm，沟底比降3‰</w:t>
      </w:r>
      <w:r>
        <w:rPr>
          <w:rFonts w:hint="eastAsia" w:eastAsia="仿宋"/>
          <w:bCs/>
          <w:color w:val="auto"/>
          <w:szCs w:val="28"/>
          <w:lang w:eastAsia="zh-CN"/>
        </w:rPr>
        <w:t>，</w:t>
      </w:r>
      <w:r>
        <w:rPr>
          <w:rFonts w:hint="eastAsia" w:eastAsia="仿宋"/>
          <w:bCs/>
          <w:color w:val="auto"/>
          <w:szCs w:val="28"/>
        </w:rPr>
        <w:t>共计布设排水沟166m，与水土保持方案设计相比，</w:t>
      </w:r>
      <w:r>
        <w:rPr>
          <w:rFonts w:hint="eastAsia" w:eastAsia="仿宋"/>
          <w:bCs/>
          <w:color w:val="auto"/>
          <w:szCs w:val="28"/>
          <w:lang w:val="en-US" w:eastAsia="zh-CN"/>
        </w:rPr>
        <w:t>排水沟长度</w:t>
      </w:r>
      <w:r>
        <w:rPr>
          <w:rFonts w:hint="eastAsia" w:eastAsia="仿宋"/>
          <w:bCs/>
          <w:color w:val="auto"/>
          <w:szCs w:val="28"/>
        </w:rPr>
        <w:t>不变。</w:t>
      </w:r>
    </w:p>
    <w:p w14:paraId="55E5890F">
      <w:pPr>
        <w:adjustRightInd w:val="0"/>
        <w:snapToGrid w:val="0"/>
        <w:ind w:firstLine="560"/>
        <w:rPr>
          <w:rFonts w:hint="eastAsia" w:eastAsia="仿宋"/>
          <w:bCs/>
          <w:color w:val="auto"/>
          <w:szCs w:val="28"/>
          <w:lang w:eastAsia="zh-CN"/>
        </w:rPr>
      </w:pPr>
      <w:r>
        <w:rPr>
          <w:rFonts w:eastAsia="仿宋"/>
          <w:bCs/>
          <w:color w:val="auto"/>
          <w:szCs w:val="28"/>
        </w:rPr>
        <w:t>②</w:t>
      </w:r>
      <w:r>
        <w:rPr>
          <w:rFonts w:hint="eastAsia" w:eastAsia="仿宋"/>
          <w:bCs/>
          <w:color w:val="auto"/>
          <w:szCs w:val="28"/>
          <w:lang w:val="en-US" w:eastAsia="zh-CN"/>
        </w:rPr>
        <w:t>沉沙池</w:t>
      </w:r>
    </w:p>
    <w:p w14:paraId="4E6BFD7E">
      <w:pPr>
        <w:adjustRightInd w:val="0"/>
        <w:snapToGrid w:val="0"/>
        <w:ind w:firstLine="560"/>
        <w:rPr>
          <w:rFonts w:eastAsia="仿宋"/>
          <w:bCs/>
          <w:color w:val="auto"/>
          <w:szCs w:val="28"/>
        </w:rPr>
      </w:pPr>
      <w:r>
        <w:rPr>
          <w:color w:val="auto"/>
          <w:szCs w:val="28"/>
        </w:rPr>
        <w:t>根据现场核查，</w:t>
      </w:r>
      <w:r>
        <w:rPr>
          <w:rFonts w:hint="eastAsia"/>
          <w:color w:val="auto"/>
          <w:szCs w:val="28"/>
        </w:rPr>
        <w:t>在施工生产生活区排水沟出口处布置沉沙池，长 2.0m，宽</w:t>
      </w:r>
      <w:r>
        <w:rPr>
          <w:rFonts w:hint="eastAsia"/>
          <w:color w:val="auto"/>
          <w:szCs w:val="28"/>
          <w:lang w:val="en-US" w:eastAsia="zh-CN"/>
        </w:rPr>
        <w:t>1.</w:t>
      </w:r>
      <w:r>
        <w:rPr>
          <w:rFonts w:hint="eastAsia"/>
          <w:color w:val="auto"/>
          <w:szCs w:val="28"/>
        </w:rPr>
        <w:t>5m，深1m，采用矩形断面，M7.5浆砌砖结构，池壁砌厚24cm，M10水泥砂浆抹面2cm，池底采用C15素砼浇筑厚20cm。共计布设沉沙池</w:t>
      </w:r>
      <w:r>
        <w:rPr>
          <w:rFonts w:hint="eastAsia"/>
          <w:color w:val="auto"/>
          <w:szCs w:val="28"/>
          <w:lang w:val="en-US" w:eastAsia="zh-CN"/>
        </w:rPr>
        <w:t>1</w:t>
      </w:r>
      <w:r>
        <w:rPr>
          <w:rFonts w:hint="eastAsia"/>
          <w:color w:val="auto"/>
          <w:szCs w:val="28"/>
        </w:rPr>
        <w:t>口</w:t>
      </w:r>
      <w:r>
        <w:rPr>
          <w:rFonts w:hint="eastAsia"/>
          <w:color w:val="auto"/>
          <w:szCs w:val="28"/>
          <w:lang w:eastAsia="zh-CN"/>
        </w:rPr>
        <w:t>。</w:t>
      </w:r>
      <w:r>
        <w:rPr>
          <w:color w:val="auto"/>
          <w:szCs w:val="28"/>
        </w:rPr>
        <w:t>工程施工结束后施工单位已对其进行拆除</w:t>
      </w:r>
      <w:r>
        <w:rPr>
          <w:rFonts w:hint="eastAsia"/>
          <w:color w:val="auto"/>
          <w:szCs w:val="28"/>
          <w:lang w:eastAsia="zh-CN"/>
        </w:rPr>
        <w:t>，</w:t>
      </w:r>
      <w:r>
        <w:rPr>
          <w:rFonts w:eastAsia="仿宋"/>
          <w:bCs/>
          <w:color w:val="auto"/>
          <w:szCs w:val="28"/>
        </w:rPr>
        <w:t>与水土保持方案设计相比，</w:t>
      </w:r>
      <w:r>
        <w:rPr>
          <w:rFonts w:hint="eastAsia" w:eastAsia="仿宋"/>
          <w:bCs/>
          <w:color w:val="auto"/>
          <w:szCs w:val="28"/>
          <w:lang w:val="en-US" w:eastAsia="zh-CN"/>
        </w:rPr>
        <w:t>沉沙池</w:t>
      </w:r>
      <w:r>
        <w:rPr>
          <w:rFonts w:eastAsia="仿宋"/>
          <w:bCs/>
          <w:color w:val="auto"/>
          <w:szCs w:val="28"/>
        </w:rPr>
        <w:t>数量无变化</w:t>
      </w:r>
      <w:r>
        <w:rPr>
          <w:rFonts w:hint="eastAsia" w:eastAsia="仿宋"/>
          <w:bCs/>
          <w:color w:val="auto"/>
          <w:szCs w:val="28"/>
        </w:rPr>
        <w:t>。</w:t>
      </w:r>
    </w:p>
    <w:p w14:paraId="53035B20">
      <w:pPr>
        <w:pStyle w:val="20"/>
        <w:rPr>
          <w:color w:val="auto"/>
        </w:rPr>
      </w:pPr>
      <w:r>
        <w:rPr>
          <w:color w:val="auto"/>
        </w:rPr>
        <w:t>表</w:t>
      </w:r>
      <w:r>
        <w:rPr>
          <w:rFonts w:hint="eastAsia"/>
          <w:color w:val="auto"/>
        </w:rPr>
        <w:t>3</w:t>
      </w:r>
      <w:r>
        <w:rPr>
          <w:rFonts w:hint="eastAsia"/>
          <w:color w:val="auto"/>
          <w:lang w:val="en-US" w:eastAsia="zh-CN"/>
        </w:rPr>
        <w:t>.5-8</w:t>
      </w:r>
      <w:r>
        <w:rPr>
          <w:color w:val="auto"/>
        </w:rPr>
        <w:t xml:space="preserve"> </w:t>
      </w:r>
      <w:r>
        <w:rPr>
          <w:rFonts w:hint="eastAsia"/>
          <w:color w:val="auto"/>
          <w:lang w:eastAsia="zh-CN"/>
        </w:rPr>
        <w:t>施工生产生活</w:t>
      </w:r>
      <w:r>
        <w:rPr>
          <w:rFonts w:hint="eastAsia"/>
          <w:color w:val="auto"/>
          <w:lang w:val="en-US" w:eastAsia="zh-CN"/>
        </w:rPr>
        <w:t>防治区</w:t>
      </w:r>
      <w:r>
        <w:rPr>
          <w:rFonts w:hint="eastAsia"/>
          <w:color w:val="auto"/>
        </w:rPr>
        <w:t>临时</w:t>
      </w:r>
      <w:r>
        <w:rPr>
          <w:color w:val="auto"/>
        </w:rPr>
        <w:t>措施情况表</w:t>
      </w:r>
    </w:p>
    <w:tbl>
      <w:tblPr>
        <w:tblStyle w:val="14"/>
        <w:tblpPr w:leftFromText="180" w:rightFromText="180" w:vertAnchor="text" w:tblpXSpec="center" w:tblpY="1"/>
        <w:tblOverlap w:val="never"/>
        <w:tblW w:w="50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64"/>
        <w:gridCol w:w="1940"/>
        <w:gridCol w:w="1076"/>
        <w:gridCol w:w="1386"/>
        <w:gridCol w:w="1416"/>
        <w:gridCol w:w="2052"/>
      </w:tblGrid>
      <w:tr w14:paraId="55677B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609132BB">
            <w:pPr>
              <w:pStyle w:val="18"/>
              <w:rPr>
                <w:color w:val="auto"/>
              </w:rPr>
            </w:pPr>
            <w:r>
              <w:rPr>
                <w:color w:val="auto"/>
              </w:rPr>
              <w:t>序号</w:t>
            </w:r>
          </w:p>
        </w:tc>
        <w:tc>
          <w:tcPr>
            <w:tcW w:w="1085" w:type="pct"/>
            <w:vAlign w:val="center"/>
          </w:tcPr>
          <w:p w14:paraId="6FBCFAF5">
            <w:pPr>
              <w:pStyle w:val="18"/>
              <w:rPr>
                <w:color w:val="auto"/>
              </w:rPr>
            </w:pPr>
            <w:r>
              <w:rPr>
                <w:color w:val="auto"/>
              </w:rPr>
              <w:t>防护措施</w:t>
            </w:r>
          </w:p>
        </w:tc>
        <w:tc>
          <w:tcPr>
            <w:tcW w:w="602" w:type="pct"/>
            <w:vAlign w:val="center"/>
          </w:tcPr>
          <w:p w14:paraId="0B100FEA">
            <w:pPr>
              <w:pStyle w:val="18"/>
              <w:rPr>
                <w:color w:val="auto"/>
              </w:rPr>
            </w:pPr>
            <w:r>
              <w:rPr>
                <w:color w:val="auto"/>
              </w:rPr>
              <w:t>单位</w:t>
            </w:r>
          </w:p>
        </w:tc>
        <w:tc>
          <w:tcPr>
            <w:tcW w:w="775" w:type="pct"/>
            <w:vAlign w:val="center"/>
          </w:tcPr>
          <w:p w14:paraId="7E104828">
            <w:pPr>
              <w:pStyle w:val="18"/>
              <w:rPr>
                <w:color w:val="auto"/>
              </w:rPr>
            </w:pPr>
            <w:r>
              <w:rPr>
                <w:color w:val="auto"/>
              </w:rPr>
              <w:t>方案设计工程量</w:t>
            </w:r>
          </w:p>
        </w:tc>
        <w:tc>
          <w:tcPr>
            <w:tcW w:w="792" w:type="pct"/>
            <w:vAlign w:val="center"/>
          </w:tcPr>
          <w:p w14:paraId="411E0F61">
            <w:pPr>
              <w:pStyle w:val="18"/>
              <w:rPr>
                <w:color w:val="auto"/>
              </w:rPr>
            </w:pPr>
            <w:r>
              <w:rPr>
                <w:color w:val="auto"/>
              </w:rPr>
              <w:t>实际完成工程量</w:t>
            </w:r>
          </w:p>
        </w:tc>
        <w:tc>
          <w:tcPr>
            <w:tcW w:w="1148" w:type="pct"/>
            <w:vAlign w:val="center"/>
          </w:tcPr>
          <w:p w14:paraId="2DAA414A">
            <w:pPr>
              <w:pStyle w:val="18"/>
              <w:rPr>
                <w:color w:val="auto"/>
              </w:rPr>
            </w:pPr>
            <w:r>
              <w:rPr>
                <w:rFonts w:hint="eastAsia"/>
                <w:color w:val="auto"/>
              </w:rPr>
              <w:t>增减情况（+/-）</w:t>
            </w:r>
          </w:p>
        </w:tc>
      </w:tr>
      <w:tr w14:paraId="1797B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3899FCB7">
            <w:pPr>
              <w:pStyle w:val="18"/>
              <w:rPr>
                <w:color w:val="auto"/>
              </w:rPr>
            </w:pPr>
            <w:r>
              <w:rPr>
                <w:color w:val="auto"/>
              </w:rPr>
              <w:t>1</w:t>
            </w:r>
          </w:p>
        </w:tc>
        <w:tc>
          <w:tcPr>
            <w:tcW w:w="1085" w:type="pct"/>
            <w:vAlign w:val="center"/>
          </w:tcPr>
          <w:p w14:paraId="6944DAB2">
            <w:pPr>
              <w:pStyle w:val="18"/>
              <w:rPr>
                <w:color w:val="auto"/>
              </w:rPr>
            </w:pPr>
            <w:r>
              <w:rPr>
                <w:color w:val="auto"/>
              </w:rPr>
              <w:t>排水沟</w:t>
            </w:r>
          </w:p>
        </w:tc>
        <w:tc>
          <w:tcPr>
            <w:tcW w:w="602" w:type="pct"/>
            <w:vAlign w:val="center"/>
          </w:tcPr>
          <w:p w14:paraId="21E9764F">
            <w:pPr>
              <w:pStyle w:val="18"/>
              <w:rPr>
                <w:color w:val="auto"/>
              </w:rPr>
            </w:pPr>
            <w:r>
              <w:rPr>
                <w:color w:val="auto"/>
              </w:rPr>
              <w:t>m</w:t>
            </w:r>
          </w:p>
        </w:tc>
        <w:tc>
          <w:tcPr>
            <w:tcW w:w="775" w:type="pct"/>
            <w:vAlign w:val="center"/>
          </w:tcPr>
          <w:p w14:paraId="1F80933C">
            <w:pPr>
              <w:pStyle w:val="18"/>
              <w:rPr>
                <w:rFonts w:hint="default" w:eastAsia="仿宋_GB2312"/>
                <w:color w:val="auto"/>
                <w:lang w:val="en-US" w:eastAsia="zh-CN"/>
              </w:rPr>
            </w:pPr>
            <w:r>
              <w:rPr>
                <w:rFonts w:hint="eastAsia"/>
                <w:color w:val="auto"/>
                <w:lang w:val="en-US" w:eastAsia="zh-CN"/>
              </w:rPr>
              <w:t>166</w:t>
            </w:r>
          </w:p>
        </w:tc>
        <w:tc>
          <w:tcPr>
            <w:tcW w:w="792" w:type="pct"/>
            <w:vAlign w:val="center"/>
          </w:tcPr>
          <w:p w14:paraId="6B504D6F">
            <w:pPr>
              <w:pStyle w:val="18"/>
              <w:ind w:firstLine="0" w:firstLineChars="0"/>
              <w:rPr>
                <w:rFonts w:hint="default"/>
                <w:color w:val="auto"/>
                <w:szCs w:val="22"/>
                <w:lang w:val="en-US"/>
              </w:rPr>
            </w:pPr>
            <w:r>
              <w:rPr>
                <w:rFonts w:hint="eastAsia"/>
                <w:color w:val="auto"/>
                <w:lang w:val="en-US" w:eastAsia="zh-CN"/>
              </w:rPr>
              <w:t>166</w:t>
            </w:r>
          </w:p>
        </w:tc>
        <w:tc>
          <w:tcPr>
            <w:tcW w:w="1148" w:type="pct"/>
            <w:vAlign w:val="center"/>
          </w:tcPr>
          <w:p w14:paraId="330DD9A8">
            <w:pPr>
              <w:pStyle w:val="18"/>
              <w:rPr>
                <w:color w:val="auto"/>
              </w:rPr>
            </w:pPr>
            <w:r>
              <w:rPr>
                <w:rFonts w:hint="eastAsia"/>
                <w:color w:val="auto"/>
              </w:rPr>
              <w:t>0</w:t>
            </w:r>
          </w:p>
        </w:tc>
      </w:tr>
      <w:tr w14:paraId="6B283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755EAA36">
            <w:pPr>
              <w:pStyle w:val="18"/>
              <w:rPr>
                <w:color w:val="auto"/>
              </w:rPr>
            </w:pPr>
            <w:r>
              <w:rPr>
                <w:color w:val="auto"/>
              </w:rPr>
              <w:t>2</w:t>
            </w:r>
          </w:p>
        </w:tc>
        <w:tc>
          <w:tcPr>
            <w:tcW w:w="1085" w:type="pct"/>
            <w:vAlign w:val="center"/>
          </w:tcPr>
          <w:p w14:paraId="5605BED3">
            <w:pPr>
              <w:pStyle w:val="18"/>
              <w:rPr>
                <w:color w:val="auto"/>
              </w:rPr>
            </w:pPr>
            <w:r>
              <w:rPr>
                <w:color w:val="auto"/>
              </w:rPr>
              <w:t>沉沙池</w:t>
            </w:r>
          </w:p>
        </w:tc>
        <w:tc>
          <w:tcPr>
            <w:tcW w:w="602" w:type="pct"/>
            <w:vAlign w:val="center"/>
          </w:tcPr>
          <w:p w14:paraId="5058960B">
            <w:pPr>
              <w:pStyle w:val="18"/>
              <w:rPr>
                <w:color w:val="auto"/>
              </w:rPr>
            </w:pPr>
            <w:r>
              <w:rPr>
                <w:color w:val="auto"/>
              </w:rPr>
              <w:t>座</w:t>
            </w:r>
          </w:p>
        </w:tc>
        <w:tc>
          <w:tcPr>
            <w:tcW w:w="775" w:type="pct"/>
            <w:vAlign w:val="center"/>
          </w:tcPr>
          <w:p w14:paraId="42846D6B">
            <w:pPr>
              <w:pStyle w:val="18"/>
              <w:rPr>
                <w:rFonts w:hint="eastAsia" w:eastAsia="仿宋_GB2312"/>
                <w:color w:val="auto"/>
                <w:lang w:eastAsia="zh-CN"/>
              </w:rPr>
            </w:pPr>
            <w:r>
              <w:rPr>
                <w:rFonts w:hint="eastAsia"/>
                <w:color w:val="auto"/>
                <w:lang w:val="en-US" w:eastAsia="zh-CN"/>
              </w:rPr>
              <w:t>1</w:t>
            </w:r>
          </w:p>
        </w:tc>
        <w:tc>
          <w:tcPr>
            <w:tcW w:w="792" w:type="pct"/>
            <w:vAlign w:val="center"/>
          </w:tcPr>
          <w:p w14:paraId="7C67E6A7">
            <w:pPr>
              <w:pStyle w:val="18"/>
              <w:ind w:firstLine="0" w:firstLineChars="0"/>
              <w:rPr>
                <w:color w:val="auto"/>
                <w:szCs w:val="22"/>
              </w:rPr>
            </w:pPr>
            <w:r>
              <w:rPr>
                <w:rFonts w:hint="eastAsia"/>
                <w:color w:val="auto"/>
                <w:lang w:val="en-US" w:eastAsia="zh-CN"/>
              </w:rPr>
              <w:t>1</w:t>
            </w:r>
          </w:p>
        </w:tc>
        <w:tc>
          <w:tcPr>
            <w:tcW w:w="1148" w:type="pct"/>
            <w:vAlign w:val="center"/>
          </w:tcPr>
          <w:p w14:paraId="1B8DAFE4">
            <w:pPr>
              <w:pStyle w:val="18"/>
              <w:rPr>
                <w:color w:val="auto"/>
              </w:rPr>
            </w:pPr>
            <w:r>
              <w:rPr>
                <w:rFonts w:hint="eastAsia"/>
                <w:color w:val="auto"/>
              </w:rPr>
              <w:t>0</w:t>
            </w:r>
          </w:p>
        </w:tc>
      </w:tr>
    </w:tbl>
    <w:p w14:paraId="5716BA16">
      <w:pPr>
        <w:pStyle w:val="5"/>
        <w:widowControl/>
        <w:rPr>
          <w:rFonts w:hint="eastAsia" w:eastAsia="仿宋"/>
          <w:color w:val="auto"/>
          <w:kern w:val="0"/>
          <w:lang w:eastAsia="zh-CN"/>
        </w:rPr>
      </w:pPr>
      <w:r>
        <w:rPr>
          <w:rFonts w:eastAsia="仿宋"/>
          <w:color w:val="auto"/>
          <w:kern w:val="0"/>
        </w:rPr>
        <w:t>3.5.3.</w:t>
      </w:r>
      <w:r>
        <w:rPr>
          <w:rFonts w:hint="eastAsia" w:eastAsia="仿宋"/>
          <w:color w:val="auto"/>
          <w:kern w:val="0"/>
          <w:lang w:val="en-US" w:eastAsia="zh-CN"/>
        </w:rPr>
        <w:t>3土方临时堆场防治区</w:t>
      </w:r>
    </w:p>
    <w:p w14:paraId="3649266B">
      <w:pPr>
        <w:snapToGrid w:val="0"/>
        <w:ind w:firstLine="560"/>
        <w:rPr>
          <w:rFonts w:hint="eastAsia"/>
          <w:color w:val="auto"/>
          <w:szCs w:val="28"/>
          <w:lang w:eastAsia="zh-CN"/>
        </w:rPr>
      </w:pPr>
      <w:r>
        <w:rPr>
          <w:rFonts w:eastAsia="仿宋"/>
          <w:bCs/>
          <w:color w:val="auto"/>
          <w:szCs w:val="28"/>
        </w:rPr>
        <w:t>①</w:t>
      </w:r>
      <w:r>
        <w:rPr>
          <w:rFonts w:hint="eastAsia"/>
          <w:color w:val="auto"/>
          <w:szCs w:val="28"/>
          <w:lang w:eastAsia="zh-CN"/>
        </w:rPr>
        <w:t>密目网布苫盖</w:t>
      </w:r>
    </w:p>
    <w:p w14:paraId="02F0E38F">
      <w:pPr>
        <w:adjustRightInd w:val="0"/>
        <w:snapToGrid w:val="0"/>
        <w:ind w:firstLine="560"/>
        <w:rPr>
          <w:bCs/>
          <w:color w:val="auto"/>
          <w:szCs w:val="28"/>
        </w:rPr>
      </w:pPr>
      <w:r>
        <w:rPr>
          <w:color w:val="auto"/>
          <w:szCs w:val="28"/>
        </w:rPr>
        <w:t>根据现场核查，</w:t>
      </w:r>
      <w:r>
        <w:rPr>
          <w:rFonts w:hint="eastAsia"/>
          <w:bCs/>
          <w:color w:val="auto"/>
          <w:szCs w:val="28"/>
        </w:rPr>
        <w:t>施工单位已</w:t>
      </w:r>
      <w:r>
        <w:rPr>
          <w:rFonts w:hint="eastAsia"/>
          <w:color w:val="auto"/>
          <w:szCs w:val="28"/>
          <w:lang w:eastAsia="zh-CN"/>
        </w:rPr>
        <w:t>在土方临时堆场堆土表面采用密目网布苫盖，共计布设密目网布</w:t>
      </w:r>
      <w:r>
        <w:rPr>
          <w:rFonts w:hint="eastAsia"/>
          <w:color w:val="auto"/>
          <w:szCs w:val="28"/>
          <w:lang w:val="en-US" w:eastAsia="zh-CN"/>
        </w:rPr>
        <w:t>1200</w:t>
      </w:r>
      <w:r>
        <w:rPr>
          <w:rFonts w:hint="eastAsia"/>
          <w:color w:val="auto"/>
          <w:szCs w:val="28"/>
          <w:lang w:eastAsia="zh-CN"/>
        </w:rPr>
        <w:t>m</w:t>
      </w:r>
      <w:r>
        <w:rPr>
          <w:rFonts w:hint="eastAsia"/>
          <w:color w:val="auto"/>
          <w:szCs w:val="28"/>
          <w:vertAlign w:val="superscript"/>
          <w:lang w:eastAsia="zh-CN"/>
        </w:rPr>
        <w:t>2</w:t>
      </w:r>
      <w:r>
        <w:rPr>
          <w:rFonts w:hint="eastAsia"/>
          <w:color w:val="auto"/>
          <w:szCs w:val="28"/>
          <w:lang w:eastAsia="zh-CN"/>
        </w:rPr>
        <w:t>。</w:t>
      </w:r>
      <w:r>
        <w:rPr>
          <w:bCs/>
          <w:color w:val="auto"/>
          <w:szCs w:val="28"/>
        </w:rPr>
        <w:t>与水土保持方案设计相比，</w:t>
      </w:r>
      <w:r>
        <w:rPr>
          <w:rFonts w:hint="eastAsia"/>
          <w:color w:val="auto"/>
          <w:szCs w:val="28"/>
          <w:lang w:eastAsia="zh-CN"/>
        </w:rPr>
        <w:t>密目网布苫盖</w:t>
      </w:r>
      <w:r>
        <w:rPr>
          <w:rFonts w:hint="eastAsia"/>
          <w:bCs/>
          <w:color w:val="auto"/>
          <w:szCs w:val="28"/>
          <w:lang w:val="en-US" w:eastAsia="zh-CN"/>
        </w:rPr>
        <w:t>面积</w:t>
      </w:r>
      <w:r>
        <w:rPr>
          <w:bCs/>
          <w:color w:val="auto"/>
          <w:szCs w:val="28"/>
        </w:rPr>
        <w:t>无变化。</w:t>
      </w:r>
    </w:p>
    <w:p w14:paraId="0F53838A">
      <w:pPr>
        <w:pStyle w:val="20"/>
        <w:rPr>
          <w:color w:val="auto"/>
        </w:rPr>
      </w:pPr>
      <w:r>
        <w:rPr>
          <w:color w:val="auto"/>
        </w:rPr>
        <w:t>表</w:t>
      </w:r>
      <w:r>
        <w:rPr>
          <w:rFonts w:hint="eastAsia"/>
          <w:color w:val="auto"/>
        </w:rPr>
        <w:t>3</w:t>
      </w:r>
      <w:r>
        <w:rPr>
          <w:rFonts w:hint="eastAsia"/>
          <w:color w:val="auto"/>
          <w:lang w:val="en-US" w:eastAsia="zh-CN"/>
        </w:rPr>
        <w:t>.5-9</w:t>
      </w:r>
      <w:r>
        <w:rPr>
          <w:color w:val="auto"/>
        </w:rPr>
        <w:t xml:space="preserve"> </w:t>
      </w:r>
      <w:r>
        <w:rPr>
          <w:rFonts w:hint="eastAsia"/>
          <w:color w:val="auto"/>
          <w:lang w:eastAsia="zh-CN"/>
        </w:rPr>
        <w:t>土方临时堆场</w:t>
      </w:r>
      <w:r>
        <w:rPr>
          <w:rFonts w:hint="eastAsia"/>
          <w:color w:val="auto"/>
          <w:lang w:val="en-US" w:eastAsia="zh-CN"/>
        </w:rPr>
        <w:t>防治区</w:t>
      </w:r>
      <w:r>
        <w:rPr>
          <w:rFonts w:hint="eastAsia"/>
          <w:color w:val="auto"/>
        </w:rPr>
        <w:t>临时</w:t>
      </w:r>
      <w:r>
        <w:rPr>
          <w:color w:val="auto"/>
        </w:rPr>
        <w:t>措施情况表</w:t>
      </w:r>
    </w:p>
    <w:tbl>
      <w:tblPr>
        <w:tblStyle w:val="14"/>
        <w:tblpPr w:leftFromText="180" w:rightFromText="180" w:vertAnchor="text" w:tblpXSpec="center" w:tblpY="1"/>
        <w:tblOverlap w:val="never"/>
        <w:tblW w:w="511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67"/>
        <w:gridCol w:w="1946"/>
        <w:gridCol w:w="1080"/>
        <w:gridCol w:w="1390"/>
        <w:gridCol w:w="1421"/>
        <w:gridCol w:w="2060"/>
      </w:tblGrid>
      <w:tr w14:paraId="0B1B16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3C808842">
            <w:pPr>
              <w:pStyle w:val="18"/>
              <w:rPr>
                <w:b/>
                <w:bCs/>
                <w:color w:val="auto"/>
              </w:rPr>
            </w:pPr>
            <w:r>
              <w:rPr>
                <w:b/>
                <w:bCs/>
                <w:color w:val="auto"/>
              </w:rPr>
              <w:t>序号</w:t>
            </w:r>
          </w:p>
        </w:tc>
        <w:tc>
          <w:tcPr>
            <w:tcW w:w="1085" w:type="pct"/>
            <w:vAlign w:val="center"/>
          </w:tcPr>
          <w:p w14:paraId="202728B2">
            <w:pPr>
              <w:pStyle w:val="18"/>
              <w:rPr>
                <w:b/>
                <w:bCs/>
                <w:color w:val="auto"/>
              </w:rPr>
            </w:pPr>
            <w:r>
              <w:rPr>
                <w:b/>
                <w:bCs/>
                <w:color w:val="auto"/>
              </w:rPr>
              <w:t>防护措施</w:t>
            </w:r>
          </w:p>
        </w:tc>
        <w:tc>
          <w:tcPr>
            <w:tcW w:w="602" w:type="pct"/>
            <w:vAlign w:val="center"/>
          </w:tcPr>
          <w:p w14:paraId="1BC9DDEE">
            <w:pPr>
              <w:pStyle w:val="18"/>
              <w:rPr>
                <w:b/>
                <w:bCs/>
                <w:color w:val="auto"/>
              </w:rPr>
            </w:pPr>
            <w:r>
              <w:rPr>
                <w:b/>
                <w:bCs/>
                <w:color w:val="auto"/>
              </w:rPr>
              <w:t>单位</w:t>
            </w:r>
          </w:p>
        </w:tc>
        <w:tc>
          <w:tcPr>
            <w:tcW w:w="775" w:type="pct"/>
            <w:vAlign w:val="center"/>
          </w:tcPr>
          <w:p w14:paraId="17DF1B13">
            <w:pPr>
              <w:pStyle w:val="18"/>
              <w:rPr>
                <w:b/>
                <w:bCs/>
                <w:color w:val="auto"/>
              </w:rPr>
            </w:pPr>
            <w:r>
              <w:rPr>
                <w:b/>
                <w:bCs/>
                <w:color w:val="auto"/>
              </w:rPr>
              <w:t>方案设计工程量</w:t>
            </w:r>
          </w:p>
        </w:tc>
        <w:tc>
          <w:tcPr>
            <w:tcW w:w="792" w:type="pct"/>
            <w:vAlign w:val="center"/>
          </w:tcPr>
          <w:p w14:paraId="0F77338A">
            <w:pPr>
              <w:pStyle w:val="18"/>
              <w:rPr>
                <w:b/>
                <w:bCs/>
                <w:color w:val="auto"/>
              </w:rPr>
            </w:pPr>
            <w:r>
              <w:rPr>
                <w:b/>
                <w:bCs/>
                <w:color w:val="auto"/>
              </w:rPr>
              <w:t>实际完成工程量</w:t>
            </w:r>
          </w:p>
        </w:tc>
        <w:tc>
          <w:tcPr>
            <w:tcW w:w="1148" w:type="pct"/>
            <w:vAlign w:val="center"/>
          </w:tcPr>
          <w:p w14:paraId="211459D9">
            <w:pPr>
              <w:pStyle w:val="18"/>
              <w:rPr>
                <w:b/>
                <w:bCs/>
                <w:color w:val="auto"/>
              </w:rPr>
            </w:pPr>
            <w:r>
              <w:rPr>
                <w:rFonts w:hint="eastAsia"/>
                <w:b/>
                <w:bCs/>
                <w:color w:val="auto"/>
              </w:rPr>
              <w:t>增减情况（+/-）</w:t>
            </w:r>
          </w:p>
        </w:tc>
      </w:tr>
      <w:tr w14:paraId="05DD95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4B962CEB">
            <w:pPr>
              <w:pStyle w:val="18"/>
              <w:rPr>
                <w:rFonts w:hint="default"/>
                <w:color w:val="auto"/>
                <w:lang w:val="en-US" w:eastAsia="zh-CN"/>
              </w:rPr>
            </w:pPr>
            <w:r>
              <w:rPr>
                <w:rFonts w:hint="eastAsia"/>
                <w:color w:val="auto"/>
                <w:lang w:val="en-US" w:eastAsia="zh-CN"/>
              </w:rPr>
              <w:t>1</w:t>
            </w:r>
          </w:p>
        </w:tc>
        <w:tc>
          <w:tcPr>
            <w:tcW w:w="1085" w:type="pct"/>
            <w:vAlign w:val="center"/>
          </w:tcPr>
          <w:p w14:paraId="4912559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sz w:val="24"/>
                <w:szCs w:val="24"/>
              </w:rPr>
              <w:t>苫盖密目网</w:t>
            </w:r>
          </w:p>
        </w:tc>
        <w:tc>
          <w:tcPr>
            <w:tcW w:w="602" w:type="pct"/>
            <w:vAlign w:val="center"/>
          </w:tcPr>
          <w:p w14:paraId="4A6C18A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color w:val="auto"/>
              </w:rPr>
            </w:pPr>
            <w:r>
              <w:rPr>
                <w:kern w:val="0"/>
                <w:sz w:val="24"/>
                <w:szCs w:val="24"/>
              </w:rPr>
              <w:t>m</w:t>
            </w:r>
            <w:r>
              <w:rPr>
                <w:kern w:val="0"/>
                <w:sz w:val="24"/>
                <w:szCs w:val="24"/>
                <w:vertAlign w:val="superscript"/>
              </w:rPr>
              <w:t>2</w:t>
            </w:r>
          </w:p>
        </w:tc>
        <w:tc>
          <w:tcPr>
            <w:tcW w:w="775" w:type="pct"/>
            <w:vAlign w:val="center"/>
          </w:tcPr>
          <w:p w14:paraId="78E019A6">
            <w:pPr>
              <w:pStyle w:val="18"/>
              <w:ind w:firstLine="0" w:firstLineChars="0"/>
              <w:rPr>
                <w:rFonts w:hint="default"/>
                <w:color w:val="auto"/>
                <w:lang w:val="en-US" w:eastAsia="zh-CN"/>
              </w:rPr>
            </w:pPr>
            <w:r>
              <w:rPr>
                <w:rFonts w:hint="eastAsia"/>
                <w:color w:val="auto"/>
                <w:lang w:val="en-US" w:eastAsia="zh-CN"/>
              </w:rPr>
              <w:t>1200</w:t>
            </w:r>
          </w:p>
        </w:tc>
        <w:tc>
          <w:tcPr>
            <w:tcW w:w="792" w:type="pct"/>
            <w:vAlign w:val="center"/>
          </w:tcPr>
          <w:p w14:paraId="0D0BDE77">
            <w:pPr>
              <w:pStyle w:val="18"/>
              <w:ind w:firstLine="0" w:firstLineChars="0"/>
              <w:rPr>
                <w:rFonts w:hint="default"/>
                <w:color w:val="auto"/>
                <w:lang w:val="en-US" w:eastAsia="zh-CN"/>
              </w:rPr>
            </w:pPr>
            <w:r>
              <w:rPr>
                <w:rFonts w:hint="eastAsia"/>
                <w:color w:val="auto"/>
                <w:lang w:val="en-US" w:eastAsia="zh-CN"/>
              </w:rPr>
              <w:t>1200</w:t>
            </w:r>
          </w:p>
        </w:tc>
        <w:tc>
          <w:tcPr>
            <w:tcW w:w="1148" w:type="pct"/>
            <w:vAlign w:val="center"/>
          </w:tcPr>
          <w:p w14:paraId="4E5C7D77">
            <w:pPr>
              <w:pStyle w:val="18"/>
              <w:ind w:firstLine="0" w:firstLineChars="0"/>
              <w:rPr>
                <w:rFonts w:hint="default" w:eastAsia="仿宋_GB2312"/>
                <w:color w:val="auto"/>
                <w:lang w:val="en-US" w:eastAsia="zh-CN"/>
              </w:rPr>
            </w:pPr>
            <w:r>
              <w:rPr>
                <w:rFonts w:hint="eastAsia"/>
                <w:color w:val="auto"/>
                <w:lang w:val="en-US" w:eastAsia="zh-CN"/>
              </w:rPr>
              <w:t>0</w:t>
            </w:r>
          </w:p>
        </w:tc>
      </w:tr>
    </w:tbl>
    <w:p w14:paraId="2C41846B">
      <w:pPr>
        <w:pStyle w:val="5"/>
        <w:widowControl/>
        <w:rPr>
          <w:rFonts w:hint="eastAsia" w:eastAsia="仿宋"/>
          <w:color w:val="auto"/>
          <w:kern w:val="0"/>
          <w:lang w:eastAsia="zh-CN"/>
        </w:rPr>
      </w:pPr>
      <w:bookmarkStart w:id="64" w:name="_Toc30901"/>
      <w:r>
        <w:rPr>
          <w:rFonts w:eastAsia="仿宋"/>
          <w:color w:val="auto"/>
          <w:kern w:val="0"/>
        </w:rPr>
        <w:t>3.5.3.</w:t>
      </w:r>
      <w:r>
        <w:rPr>
          <w:rFonts w:hint="eastAsia" w:eastAsia="仿宋"/>
          <w:color w:val="auto"/>
          <w:kern w:val="0"/>
          <w:lang w:val="en-US" w:eastAsia="zh-CN"/>
        </w:rPr>
        <w:t>4施工便道防治区</w:t>
      </w:r>
    </w:p>
    <w:p w14:paraId="27109A3D">
      <w:pPr>
        <w:adjustRightInd w:val="0"/>
        <w:snapToGrid w:val="0"/>
        <w:ind w:firstLine="560"/>
        <w:rPr>
          <w:rFonts w:hint="eastAsia" w:eastAsia="仿宋"/>
          <w:bCs/>
          <w:color w:val="auto"/>
          <w:szCs w:val="28"/>
          <w:lang w:eastAsia="zh-CN"/>
        </w:rPr>
      </w:pPr>
      <w:r>
        <w:rPr>
          <w:rFonts w:eastAsia="仿宋"/>
          <w:bCs/>
          <w:color w:val="auto"/>
          <w:szCs w:val="28"/>
        </w:rPr>
        <w:t>①</w:t>
      </w:r>
      <w:r>
        <w:rPr>
          <w:rFonts w:hint="eastAsia" w:eastAsia="仿宋"/>
          <w:bCs/>
          <w:color w:val="auto"/>
          <w:szCs w:val="28"/>
          <w:lang w:val="en-US" w:eastAsia="zh-CN"/>
        </w:rPr>
        <w:t>排水沟</w:t>
      </w:r>
    </w:p>
    <w:p w14:paraId="37467686">
      <w:pPr>
        <w:adjustRightInd w:val="0"/>
        <w:snapToGrid w:val="0"/>
        <w:ind w:firstLine="560"/>
        <w:rPr>
          <w:rFonts w:eastAsia="仿宋"/>
          <w:bCs/>
          <w:color w:val="auto"/>
          <w:szCs w:val="28"/>
        </w:rPr>
      </w:pPr>
      <w:r>
        <w:rPr>
          <w:rFonts w:hint="eastAsia" w:eastAsia="仿宋"/>
          <w:bCs/>
          <w:color w:val="auto"/>
          <w:szCs w:val="28"/>
        </w:rPr>
        <w:t>根据现场核查，在</w:t>
      </w:r>
      <w:r>
        <w:rPr>
          <w:rFonts w:hint="eastAsia" w:eastAsia="仿宋"/>
          <w:bCs/>
          <w:color w:val="auto"/>
          <w:szCs w:val="28"/>
          <w:lang w:val="en-US" w:eastAsia="zh-CN"/>
        </w:rPr>
        <w:t>施工便道沿线</w:t>
      </w:r>
      <w:r>
        <w:rPr>
          <w:rFonts w:hint="eastAsia" w:eastAsia="仿宋"/>
          <w:bCs/>
          <w:color w:val="auto"/>
          <w:szCs w:val="28"/>
        </w:rPr>
        <w:t>布设排水沟，采用矩形断面，M7.5浆砌砖结构，底宽30cm，沟深30cm，沟壁砖砌厚12cm，M10水泥砂浆抹面2cm，沟底采用C15素砼浇筑厚10cm，沟底比降</w:t>
      </w:r>
      <w:r>
        <w:rPr>
          <w:rFonts w:hint="eastAsia" w:eastAsia="仿宋"/>
          <w:bCs/>
          <w:color w:val="auto"/>
          <w:szCs w:val="28"/>
          <w:lang w:val="en-US" w:eastAsia="zh-CN"/>
        </w:rPr>
        <w:t>5</w:t>
      </w:r>
      <w:r>
        <w:rPr>
          <w:rFonts w:hint="eastAsia" w:eastAsia="仿宋"/>
          <w:bCs/>
          <w:color w:val="auto"/>
          <w:szCs w:val="28"/>
        </w:rPr>
        <w:t>‰</w:t>
      </w:r>
      <w:r>
        <w:rPr>
          <w:rFonts w:hint="eastAsia" w:eastAsia="仿宋"/>
          <w:bCs/>
          <w:color w:val="auto"/>
          <w:szCs w:val="28"/>
          <w:lang w:eastAsia="zh-CN"/>
        </w:rPr>
        <w:t>，</w:t>
      </w:r>
      <w:r>
        <w:rPr>
          <w:rFonts w:hint="eastAsia" w:eastAsia="仿宋"/>
          <w:bCs/>
          <w:color w:val="auto"/>
          <w:szCs w:val="28"/>
        </w:rPr>
        <w:t>共计布设排水沟</w:t>
      </w:r>
      <w:r>
        <w:rPr>
          <w:rFonts w:hint="eastAsia" w:eastAsia="仿宋"/>
          <w:bCs/>
          <w:color w:val="auto"/>
          <w:szCs w:val="28"/>
          <w:lang w:val="en-US" w:eastAsia="zh-CN"/>
        </w:rPr>
        <w:t>573</w:t>
      </w:r>
      <w:r>
        <w:rPr>
          <w:rFonts w:hint="eastAsia" w:eastAsia="仿宋"/>
          <w:bCs/>
          <w:color w:val="auto"/>
          <w:szCs w:val="28"/>
        </w:rPr>
        <w:t>m，与水土保持方案设计相比，</w:t>
      </w:r>
      <w:r>
        <w:rPr>
          <w:rFonts w:hint="eastAsia" w:eastAsia="仿宋"/>
          <w:bCs/>
          <w:color w:val="auto"/>
          <w:szCs w:val="28"/>
          <w:lang w:val="en-US" w:eastAsia="zh-CN"/>
        </w:rPr>
        <w:t>排水沟长度</w:t>
      </w:r>
      <w:r>
        <w:rPr>
          <w:rFonts w:hint="eastAsia" w:eastAsia="仿宋"/>
          <w:bCs/>
          <w:color w:val="auto"/>
          <w:szCs w:val="28"/>
        </w:rPr>
        <w:t>不变。</w:t>
      </w:r>
    </w:p>
    <w:p w14:paraId="04D0AA4E">
      <w:pPr>
        <w:adjustRightInd w:val="0"/>
        <w:snapToGrid w:val="0"/>
        <w:ind w:firstLine="560"/>
        <w:rPr>
          <w:rFonts w:hint="eastAsia" w:eastAsia="仿宋"/>
          <w:bCs/>
          <w:color w:val="auto"/>
          <w:szCs w:val="28"/>
          <w:lang w:eastAsia="zh-CN"/>
        </w:rPr>
      </w:pPr>
      <w:r>
        <w:rPr>
          <w:rFonts w:eastAsia="仿宋"/>
          <w:bCs/>
          <w:color w:val="auto"/>
          <w:szCs w:val="28"/>
        </w:rPr>
        <w:t>②</w:t>
      </w:r>
      <w:r>
        <w:rPr>
          <w:rFonts w:hint="eastAsia" w:eastAsia="仿宋"/>
          <w:bCs/>
          <w:color w:val="auto"/>
          <w:szCs w:val="28"/>
          <w:lang w:val="en-US" w:eastAsia="zh-CN"/>
        </w:rPr>
        <w:t>沉沙池</w:t>
      </w:r>
    </w:p>
    <w:p w14:paraId="1D8959A4">
      <w:pPr>
        <w:adjustRightInd w:val="0"/>
        <w:snapToGrid w:val="0"/>
        <w:ind w:firstLine="560"/>
        <w:rPr>
          <w:rFonts w:eastAsia="仿宋"/>
          <w:bCs/>
          <w:color w:val="auto"/>
          <w:szCs w:val="28"/>
        </w:rPr>
      </w:pPr>
      <w:r>
        <w:rPr>
          <w:color w:val="auto"/>
          <w:szCs w:val="28"/>
        </w:rPr>
        <w:t>根据现场核查，</w:t>
      </w:r>
      <w:r>
        <w:rPr>
          <w:rFonts w:hint="eastAsia"/>
          <w:color w:val="auto"/>
          <w:szCs w:val="28"/>
        </w:rPr>
        <w:t>在施工生产生活区排水沟出口处布置沉沙池，长 2.0m，宽</w:t>
      </w:r>
      <w:r>
        <w:rPr>
          <w:rFonts w:hint="eastAsia"/>
          <w:color w:val="auto"/>
          <w:szCs w:val="28"/>
          <w:lang w:val="en-US" w:eastAsia="zh-CN"/>
        </w:rPr>
        <w:t>1.</w:t>
      </w:r>
      <w:r>
        <w:rPr>
          <w:rFonts w:hint="eastAsia"/>
          <w:color w:val="auto"/>
          <w:szCs w:val="28"/>
        </w:rPr>
        <w:t>5m，深1m，采用矩形断面，M7.5浆砌砖结构，池壁砌厚24cm，M10水泥砂浆抹面2cm，池底采用C15素砼浇筑厚20cm。</w:t>
      </w:r>
      <w:bookmarkStart w:id="139" w:name="_GoBack"/>
      <w:bookmarkEnd w:id="139"/>
      <w:r>
        <w:rPr>
          <w:rFonts w:hint="eastAsia"/>
          <w:color w:val="auto"/>
          <w:szCs w:val="28"/>
        </w:rPr>
        <w:t>共计布设沉沙池</w:t>
      </w:r>
      <w:r>
        <w:rPr>
          <w:rFonts w:hint="eastAsia"/>
          <w:color w:val="auto"/>
          <w:szCs w:val="28"/>
          <w:lang w:val="en-US" w:eastAsia="zh-CN"/>
        </w:rPr>
        <w:t>1</w:t>
      </w:r>
      <w:r>
        <w:rPr>
          <w:rFonts w:hint="eastAsia"/>
          <w:color w:val="auto"/>
          <w:szCs w:val="28"/>
        </w:rPr>
        <w:t>口</w:t>
      </w:r>
      <w:r>
        <w:rPr>
          <w:rFonts w:hint="eastAsia"/>
          <w:color w:val="auto"/>
          <w:szCs w:val="28"/>
          <w:lang w:eastAsia="zh-CN"/>
        </w:rPr>
        <w:t>。</w:t>
      </w:r>
      <w:r>
        <w:rPr>
          <w:color w:val="auto"/>
          <w:szCs w:val="28"/>
        </w:rPr>
        <w:t>工程施工结束后施工单位已对其进行拆除</w:t>
      </w:r>
      <w:r>
        <w:rPr>
          <w:rFonts w:hint="eastAsia"/>
          <w:color w:val="auto"/>
          <w:szCs w:val="28"/>
          <w:lang w:eastAsia="zh-CN"/>
        </w:rPr>
        <w:t>，</w:t>
      </w:r>
      <w:r>
        <w:rPr>
          <w:rFonts w:eastAsia="仿宋"/>
          <w:bCs/>
          <w:color w:val="auto"/>
          <w:szCs w:val="28"/>
        </w:rPr>
        <w:t>与水土保持方案设计相比，</w:t>
      </w:r>
      <w:r>
        <w:rPr>
          <w:rFonts w:hint="eastAsia" w:eastAsia="仿宋"/>
          <w:bCs/>
          <w:color w:val="auto"/>
          <w:szCs w:val="28"/>
          <w:lang w:val="en-US" w:eastAsia="zh-CN"/>
        </w:rPr>
        <w:t>沉沙池</w:t>
      </w:r>
      <w:r>
        <w:rPr>
          <w:rFonts w:eastAsia="仿宋"/>
          <w:bCs/>
          <w:color w:val="auto"/>
          <w:szCs w:val="28"/>
        </w:rPr>
        <w:t>数量无变化</w:t>
      </w:r>
      <w:r>
        <w:rPr>
          <w:rFonts w:hint="eastAsia" w:eastAsia="仿宋"/>
          <w:bCs/>
          <w:color w:val="auto"/>
          <w:szCs w:val="28"/>
        </w:rPr>
        <w:t>。</w:t>
      </w:r>
    </w:p>
    <w:p w14:paraId="03DB0DC3">
      <w:pPr>
        <w:adjustRightInd w:val="0"/>
        <w:snapToGrid w:val="0"/>
        <w:ind w:firstLine="560"/>
        <w:rPr>
          <w:bCs/>
          <w:color w:val="auto"/>
          <w:szCs w:val="28"/>
        </w:rPr>
      </w:pPr>
    </w:p>
    <w:p w14:paraId="25649BEA">
      <w:pPr>
        <w:pStyle w:val="20"/>
        <w:rPr>
          <w:color w:val="auto"/>
        </w:rPr>
      </w:pPr>
      <w:r>
        <w:rPr>
          <w:color w:val="auto"/>
        </w:rPr>
        <w:t>表</w:t>
      </w:r>
      <w:r>
        <w:rPr>
          <w:rFonts w:hint="eastAsia"/>
          <w:color w:val="auto"/>
        </w:rPr>
        <w:t>3</w:t>
      </w:r>
      <w:r>
        <w:rPr>
          <w:rFonts w:hint="eastAsia"/>
          <w:color w:val="auto"/>
          <w:lang w:val="en-US" w:eastAsia="zh-CN"/>
        </w:rPr>
        <w:t>.5-10</w:t>
      </w:r>
      <w:r>
        <w:rPr>
          <w:color w:val="auto"/>
        </w:rPr>
        <w:t xml:space="preserve"> </w:t>
      </w:r>
      <w:r>
        <w:rPr>
          <w:rFonts w:hint="eastAsia"/>
          <w:color w:val="auto"/>
          <w:lang w:val="en-US" w:eastAsia="zh-CN"/>
        </w:rPr>
        <w:t>施工便道防治区</w:t>
      </w:r>
      <w:r>
        <w:rPr>
          <w:rFonts w:hint="eastAsia"/>
          <w:color w:val="auto"/>
        </w:rPr>
        <w:t>临时</w:t>
      </w:r>
      <w:r>
        <w:rPr>
          <w:color w:val="auto"/>
        </w:rPr>
        <w:t>措施情况表</w:t>
      </w:r>
    </w:p>
    <w:tbl>
      <w:tblPr>
        <w:tblStyle w:val="14"/>
        <w:tblpPr w:leftFromText="180" w:rightFromText="180" w:vertAnchor="text" w:tblpXSpec="center" w:tblpY="1"/>
        <w:tblOverlap w:val="never"/>
        <w:tblW w:w="511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67"/>
        <w:gridCol w:w="1946"/>
        <w:gridCol w:w="1080"/>
        <w:gridCol w:w="1390"/>
        <w:gridCol w:w="1421"/>
        <w:gridCol w:w="2060"/>
      </w:tblGrid>
      <w:tr w14:paraId="175BE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5" w:type="pct"/>
            <w:vAlign w:val="center"/>
          </w:tcPr>
          <w:p w14:paraId="4AF92D40">
            <w:pPr>
              <w:pStyle w:val="18"/>
              <w:rPr>
                <w:b/>
                <w:bCs/>
                <w:color w:val="auto"/>
              </w:rPr>
            </w:pPr>
            <w:r>
              <w:rPr>
                <w:b/>
                <w:bCs/>
                <w:color w:val="auto"/>
              </w:rPr>
              <w:t>序号</w:t>
            </w:r>
          </w:p>
        </w:tc>
        <w:tc>
          <w:tcPr>
            <w:tcW w:w="1085" w:type="pct"/>
            <w:vAlign w:val="center"/>
          </w:tcPr>
          <w:p w14:paraId="611730AC">
            <w:pPr>
              <w:pStyle w:val="18"/>
              <w:rPr>
                <w:b/>
                <w:bCs/>
                <w:color w:val="auto"/>
              </w:rPr>
            </w:pPr>
            <w:r>
              <w:rPr>
                <w:b/>
                <w:bCs/>
                <w:color w:val="auto"/>
              </w:rPr>
              <w:t>防护措施</w:t>
            </w:r>
          </w:p>
        </w:tc>
        <w:tc>
          <w:tcPr>
            <w:tcW w:w="602" w:type="pct"/>
            <w:vAlign w:val="center"/>
          </w:tcPr>
          <w:p w14:paraId="35C8C69C">
            <w:pPr>
              <w:pStyle w:val="18"/>
              <w:rPr>
                <w:b/>
                <w:bCs/>
                <w:color w:val="auto"/>
              </w:rPr>
            </w:pPr>
            <w:r>
              <w:rPr>
                <w:b/>
                <w:bCs/>
                <w:color w:val="auto"/>
              </w:rPr>
              <w:t>单位</w:t>
            </w:r>
          </w:p>
        </w:tc>
        <w:tc>
          <w:tcPr>
            <w:tcW w:w="775" w:type="pct"/>
            <w:vAlign w:val="center"/>
          </w:tcPr>
          <w:p w14:paraId="06C1B583">
            <w:pPr>
              <w:pStyle w:val="18"/>
              <w:rPr>
                <w:b/>
                <w:bCs/>
                <w:color w:val="auto"/>
              </w:rPr>
            </w:pPr>
            <w:r>
              <w:rPr>
                <w:b/>
                <w:bCs/>
                <w:color w:val="auto"/>
              </w:rPr>
              <w:t>方案设计工程量</w:t>
            </w:r>
          </w:p>
        </w:tc>
        <w:tc>
          <w:tcPr>
            <w:tcW w:w="792" w:type="pct"/>
            <w:vAlign w:val="center"/>
          </w:tcPr>
          <w:p w14:paraId="79946A81">
            <w:pPr>
              <w:pStyle w:val="18"/>
              <w:rPr>
                <w:b/>
                <w:bCs/>
                <w:color w:val="auto"/>
              </w:rPr>
            </w:pPr>
            <w:r>
              <w:rPr>
                <w:b/>
                <w:bCs/>
                <w:color w:val="auto"/>
              </w:rPr>
              <w:t>实际完成工程量</w:t>
            </w:r>
          </w:p>
        </w:tc>
        <w:tc>
          <w:tcPr>
            <w:tcW w:w="1148" w:type="pct"/>
            <w:vAlign w:val="center"/>
          </w:tcPr>
          <w:p w14:paraId="41DBD5AA">
            <w:pPr>
              <w:pStyle w:val="18"/>
              <w:rPr>
                <w:b/>
                <w:bCs/>
                <w:color w:val="auto"/>
              </w:rPr>
            </w:pPr>
            <w:r>
              <w:rPr>
                <w:rFonts w:hint="eastAsia"/>
                <w:b/>
                <w:bCs/>
                <w:color w:val="auto"/>
              </w:rPr>
              <w:t>增减情况（+/-）</w:t>
            </w:r>
          </w:p>
        </w:tc>
      </w:tr>
      <w:tr w14:paraId="275AB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67" w:type="dxa"/>
            <w:vAlign w:val="center"/>
          </w:tcPr>
          <w:p w14:paraId="1BF2625D">
            <w:pPr>
              <w:pStyle w:val="18"/>
              <w:ind w:firstLine="0" w:firstLineChars="0"/>
              <w:rPr>
                <w:rFonts w:hint="default"/>
                <w:color w:val="auto"/>
                <w:lang w:val="en-US" w:eastAsia="zh-CN"/>
              </w:rPr>
            </w:pPr>
            <w:r>
              <w:rPr>
                <w:color w:val="auto"/>
              </w:rPr>
              <w:t>1</w:t>
            </w:r>
          </w:p>
        </w:tc>
        <w:tc>
          <w:tcPr>
            <w:tcW w:w="1946" w:type="dxa"/>
            <w:vAlign w:val="center"/>
          </w:tcPr>
          <w:p w14:paraId="0F35F33F">
            <w:pPr>
              <w:pStyle w:val="18"/>
              <w:ind w:firstLine="0" w:firstLineChars="0"/>
              <w:rPr>
                <w:rFonts w:hint="eastAsia"/>
                <w:color w:val="auto"/>
              </w:rPr>
            </w:pPr>
            <w:r>
              <w:rPr>
                <w:color w:val="auto"/>
              </w:rPr>
              <w:t>排水沟</w:t>
            </w:r>
          </w:p>
        </w:tc>
        <w:tc>
          <w:tcPr>
            <w:tcW w:w="1080" w:type="dxa"/>
            <w:vAlign w:val="center"/>
          </w:tcPr>
          <w:p w14:paraId="00833229">
            <w:pPr>
              <w:pStyle w:val="18"/>
              <w:ind w:firstLine="0" w:firstLineChars="0"/>
              <w:rPr>
                <w:color w:val="auto"/>
              </w:rPr>
            </w:pPr>
            <w:r>
              <w:rPr>
                <w:color w:val="auto"/>
              </w:rPr>
              <w:t>m</w:t>
            </w:r>
          </w:p>
        </w:tc>
        <w:tc>
          <w:tcPr>
            <w:tcW w:w="1390" w:type="dxa"/>
            <w:vAlign w:val="center"/>
          </w:tcPr>
          <w:p w14:paraId="23F0E6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color w:val="auto"/>
                <w:lang w:val="en-US" w:eastAsia="zh-CN"/>
              </w:rPr>
            </w:pPr>
            <w:r>
              <w:rPr>
                <w:rFonts w:hint="eastAsia" w:ascii="Times New Roman" w:hAnsi="Times New Roman" w:cs="Times New Roman"/>
                <w:color w:val="auto"/>
                <w:sz w:val="24"/>
                <w:szCs w:val="24"/>
                <w:lang w:val="en-US" w:eastAsia="zh-CN"/>
              </w:rPr>
              <w:t>573</w:t>
            </w:r>
          </w:p>
        </w:tc>
        <w:tc>
          <w:tcPr>
            <w:tcW w:w="1421" w:type="dxa"/>
            <w:vAlign w:val="center"/>
          </w:tcPr>
          <w:p w14:paraId="30C79B2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color w:val="auto"/>
                <w:lang w:val="en-US" w:eastAsia="zh-CN"/>
              </w:rPr>
            </w:pPr>
            <w:r>
              <w:rPr>
                <w:rFonts w:hint="eastAsia" w:ascii="Times New Roman" w:hAnsi="Times New Roman" w:cs="Times New Roman"/>
                <w:color w:val="auto"/>
                <w:sz w:val="24"/>
                <w:szCs w:val="24"/>
                <w:lang w:val="en-US" w:eastAsia="zh-CN"/>
              </w:rPr>
              <w:t>573</w:t>
            </w:r>
          </w:p>
        </w:tc>
        <w:tc>
          <w:tcPr>
            <w:tcW w:w="2060" w:type="dxa"/>
            <w:vAlign w:val="center"/>
          </w:tcPr>
          <w:p w14:paraId="42C379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lang w:val="en-US" w:eastAsia="zh-CN"/>
              </w:rPr>
            </w:pPr>
            <w:r>
              <w:rPr>
                <w:rFonts w:hint="eastAsia"/>
                <w:color w:val="auto"/>
                <w:sz w:val="24"/>
                <w:szCs w:val="24"/>
                <w:lang w:val="en-US" w:eastAsia="zh-CN"/>
              </w:rPr>
              <w:t>0</w:t>
            </w:r>
          </w:p>
        </w:tc>
      </w:tr>
      <w:tr w14:paraId="0D34DF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067" w:type="dxa"/>
            <w:vAlign w:val="center"/>
          </w:tcPr>
          <w:p w14:paraId="2E846269">
            <w:pPr>
              <w:pStyle w:val="18"/>
              <w:ind w:firstLine="0" w:firstLineChars="0"/>
              <w:jc w:val="center"/>
              <w:rPr>
                <w:rFonts w:hint="eastAsia"/>
                <w:color w:val="auto"/>
                <w:lang w:val="en-US" w:eastAsia="zh-CN"/>
              </w:rPr>
            </w:pPr>
            <w:r>
              <w:rPr>
                <w:rFonts w:hint="eastAsia"/>
                <w:color w:val="auto"/>
                <w:lang w:val="en-US" w:eastAsia="zh-CN"/>
              </w:rPr>
              <w:t>2</w:t>
            </w:r>
          </w:p>
        </w:tc>
        <w:tc>
          <w:tcPr>
            <w:tcW w:w="1946" w:type="dxa"/>
            <w:vAlign w:val="center"/>
          </w:tcPr>
          <w:p w14:paraId="7DF4C24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sz w:val="24"/>
                <w:szCs w:val="24"/>
              </w:rPr>
            </w:pPr>
            <w:r>
              <w:rPr>
                <w:rFonts w:hint="eastAsia"/>
                <w:sz w:val="24"/>
                <w:szCs w:val="24"/>
                <w:lang w:val="en-US" w:eastAsia="zh-CN"/>
              </w:rPr>
              <w:t>沉沙池</w:t>
            </w:r>
          </w:p>
        </w:tc>
        <w:tc>
          <w:tcPr>
            <w:tcW w:w="1080" w:type="dxa"/>
            <w:vAlign w:val="center"/>
          </w:tcPr>
          <w:p w14:paraId="57C8F2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kern w:val="0"/>
                <w:sz w:val="24"/>
                <w:szCs w:val="24"/>
              </w:rPr>
            </w:pPr>
            <w:r>
              <w:rPr>
                <w:rFonts w:hint="eastAsia"/>
                <w:color w:val="auto"/>
                <w:lang w:val="en-US" w:eastAsia="zh-CN"/>
              </w:rPr>
              <w:t>口</w:t>
            </w:r>
          </w:p>
        </w:tc>
        <w:tc>
          <w:tcPr>
            <w:tcW w:w="1390" w:type="dxa"/>
            <w:vAlign w:val="center"/>
          </w:tcPr>
          <w:p w14:paraId="6C91161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lang w:val="en-US" w:eastAsia="zh-CN"/>
              </w:rPr>
            </w:pPr>
            <w:r>
              <w:rPr>
                <w:rFonts w:hint="eastAsia" w:ascii="Times New Roman" w:hAnsi="Times New Roman" w:cs="Times New Roman"/>
                <w:color w:val="auto"/>
                <w:sz w:val="24"/>
                <w:szCs w:val="24"/>
                <w:lang w:val="en-US" w:eastAsia="zh-CN"/>
              </w:rPr>
              <w:t>1</w:t>
            </w:r>
          </w:p>
        </w:tc>
        <w:tc>
          <w:tcPr>
            <w:tcW w:w="1421" w:type="dxa"/>
            <w:vAlign w:val="center"/>
          </w:tcPr>
          <w:p w14:paraId="52C266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lang w:val="en-US" w:eastAsia="zh-CN"/>
              </w:rPr>
            </w:pPr>
            <w:r>
              <w:rPr>
                <w:rFonts w:hint="eastAsia" w:ascii="Times New Roman" w:hAnsi="Times New Roman" w:cs="Times New Roman"/>
                <w:color w:val="auto"/>
                <w:sz w:val="24"/>
                <w:szCs w:val="24"/>
                <w:lang w:val="en-US" w:eastAsia="zh-CN"/>
              </w:rPr>
              <w:t>1</w:t>
            </w:r>
          </w:p>
        </w:tc>
        <w:tc>
          <w:tcPr>
            <w:tcW w:w="2060" w:type="dxa"/>
            <w:vAlign w:val="center"/>
          </w:tcPr>
          <w:p w14:paraId="408592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olor w:val="auto"/>
                <w:lang w:val="en-US" w:eastAsia="zh-CN"/>
              </w:rPr>
            </w:pPr>
            <w:r>
              <w:rPr>
                <w:rFonts w:hint="eastAsia"/>
                <w:color w:val="auto"/>
                <w:sz w:val="24"/>
                <w:szCs w:val="24"/>
                <w:lang w:val="en-US" w:eastAsia="zh-CN"/>
              </w:rPr>
              <w:t>0</w:t>
            </w:r>
          </w:p>
        </w:tc>
      </w:tr>
    </w:tbl>
    <w:p w14:paraId="58198055">
      <w:pPr>
        <w:pStyle w:val="3"/>
        <w:widowControl/>
        <w:spacing w:beforeLines="50"/>
        <w:rPr>
          <w:rFonts w:eastAsia="仿宋"/>
          <w:color w:val="auto"/>
          <w:kern w:val="0"/>
          <w:szCs w:val="30"/>
        </w:rPr>
      </w:pPr>
      <w:r>
        <w:rPr>
          <w:rFonts w:eastAsia="仿宋"/>
          <w:color w:val="auto"/>
          <w:kern w:val="0"/>
          <w:szCs w:val="30"/>
        </w:rPr>
        <w:t>3.6水土保持投资完成情况</w:t>
      </w:r>
      <w:bookmarkEnd w:id="64"/>
    </w:p>
    <w:p w14:paraId="011A2A0F">
      <w:pPr>
        <w:pStyle w:val="4"/>
        <w:widowControl/>
        <w:rPr>
          <w:rFonts w:eastAsia="仿宋"/>
          <w:color w:val="auto"/>
          <w:kern w:val="0"/>
        </w:rPr>
      </w:pPr>
      <w:bookmarkStart w:id="65" w:name="_Toc19336"/>
      <w:bookmarkStart w:id="66" w:name="_Toc12120"/>
      <w:bookmarkStart w:id="67" w:name="_Toc28531"/>
      <w:bookmarkStart w:id="68" w:name="_Toc3186"/>
      <w:r>
        <w:rPr>
          <w:rFonts w:eastAsia="仿宋"/>
          <w:color w:val="auto"/>
          <w:kern w:val="0"/>
        </w:rPr>
        <w:t>3.6.1水土保持方案投资</w:t>
      </w:r>
      <w:bookmarkEnd w:id="65"/>
      <w:bookmarkEnd w:id="66"/>
      <w:bookmarkEnd w:id="67"/>
      <w:bookmarkEnd w:id="68"/>
    </w:p>
    <w:p w14:paraId="5B788E30">
      <w:pPr>
        <w:ind w:firstLine="560"/>
        <w:rPr>
          <w:rFonts w:hint="eastAsia" w:eastAsia="仿宋"/>
          <w:color w:val="auto"/>
          <w:szCs w:val="28"/>
        </w:rPr>
      </w:pPr>
      <w:r>
        <w:rPr>
          <w:rFonts w:hint="eastAsia" w:eastAsia="仿宋"/>
          <w:color w:val="auto"/>
          <w:szCs w:val="28"/>
        </w:rPr>
        <w:t>本项目水土保持总投资166.2305万元</w:t>
      </w:r>
      <w:r>
        <w:rPr>
          <w:rFonts w:hint="eastAsia" w:eastAsia="仿宋"/>
          <w:color w:val="auto"/>
          <w:szCs w:val="28"/>
          <w:lang w:eastAsia="zh-CN"/>
        </w:rPr>
        <w:t>，</w:t>
      </w:r>
      <w:r>
        <w:rPr>
          <w:rFonts w:hint="eastAsia" w:eastAsia="仿宋"/>
          <w:color w:val="auto"/>
          <w:szCs w:val="28"/>
        </w:rPr>
        <w:t>其中主体设计已有投资 106.05万元，方案新增投资60.1805万元。</w:t>
      </w:r>
    </w:p>
    <w:p w14:paraId="3D240CA1">
      <w:pPr>
        <w:ind w:firstLine="560"/>
        <w:rPr>
          <w:rFonts w:eastAsia="仿宋"/>
          <w:color w:val="auto"/>
          <w:szCs w:val="28"/>
        </w:rPr>
      </w:pPr>
      <w:r>
        <w:rPr>
          <w:rFonts w:hint="eastAsia" w:eastAsia="仿宋"/>
          <w:color w:val="auto"/>
          <w:szCs w:val="28"/>
        </w:rPr>
        <w:t>水土保持总投资中工程措施投资50.49万元，植物措施投资47.93 万元，施工临时工程投资36.57万元，独立费用25.1万元（其中水土保持监理费6万元，监测费9.52万元），基本预备费3.24万元，水土保持补偿费2.9005万元（本项目属于公办学校，根据闽发改价格函〔2023〕199 号第三条第一点，建设公益性的学校、幼儿园、医院、养老服务设施、孤儿院、福利院、防洪等工程项目的可免征水土保持补偿费，故建议免征本项目水土保持补偿费）。</w:t>
      </w:r>
    </w:p>
    <w:p w14:paraId="556B627F">
      <w:pPr>
        <w:pStyle w:val="4"/>
        <w:widowControl/>
        <w:rPr>
          <w:rFonts w:eastAsia="仿宋"/>
          <w:color w:val="auto"/>
          <w:kern w:val="0"/>
        </w:rPr>
      </w:pPr>
      <w:r>
        <w:rPr>
          <w:rFonts w:eastAsia="仿宋"/>
          <w:color w:val="auto"/>
          <w:kern w:val="0"/>
        </w:rPr>
        <w:t>3.6.</w:t>
      </w:r>
      <w:r>
        <w:rPr>
          <w:rFonts w:hint="eastAsia" w:eastAsia="仿宋"/>
          <w:color w:val="auto"/>
          <w:kern w:val="0"/>
        </w:rPr>
        <w:t>2</w:t>
      </w:r>
      <w:r>
        <w:rPr>
          <w:rFonts w:eastAsia="仿宋"/>
          <w:color w:val="auto"/>
          <w:kern w:val="0"/>
        </w:rPr>
        <w:t>水土保持</w:t>
      </w:r>
      <w:r>
        <w:rPr>
          <w:rFonts w:hint="eastAsia" w:eastAsia="仿宋"/>
          <w:color w:val="auto"/>
          <w:kern w:val="0"/>
        </w:rPr>
        <w:t>实际总</w:t>
      </w:r>
      <w:r>
        <w:rPr>
          <w:rFonts w:eastAsia="仿宋"/>
          <w:color w:val="auto"/>
          <w:kern w:val="0"/>
        </w:rPr>
        <w:t>投资</w:t>
      </w:r>
    </w:p>
    <w:p w14:paraId="329AE1ED">
      <w:pPr>
        <w:ind w:firstLine="560"/>
        <w:rPr>
          <w:rFonts w:eastAsia="仿宋"/>
          <w:color w:val="auto"/>
          <w:szCs w:val="28"/>
          <w:highlight w:val="none"/>
        </w:rPr>
      </w:pPr>
      <w:r>
        <w:rPr>
          <w:rFonts w:hint="eastAsia" w:eastAsia="仿宋"/>
          <w:color w:val="auto"/>
          <w:szCs w:val="28"/>
        </w:rPr>
        <w:t>本项目水土保持方案总投资</w:t>
      </w:r>
      <w:r>
        <w:rPr>
          <w:rFonts w:hint="eastAsia" w:eastAsia="仿宋"/>
          <w:color w:val="auto"/>
          <w:szCs w:val="28"/>
          <w:lang w:val="en-US" w:eastAsia="zh-CN"/>
        </w:rPr>
        <w:t>155.77</w:t>
      </w:r>
      <w:r>
        <w:rPr>
          <w:rFonts w:hint="eastAsia" w:eastAsia="仿宋"/>
          <w:color w:val="auto"/>
          <w:szCs w:val="28"/>
        </w:rPr>
        <w:t>万元，水土保持总投资中工程措施投资</w:t>
      </w:r>
      <w:r>
        <w:rPr>
          <w:rFonts w:hint="eastAsia" w:eastAsia="仿宋"/>
          <w:color w:val="auto"/>
          <w:szCs w:val="28"/>
          <w:lang w:val="en-US" w:eastAsia="zh-CN"/>
        </w:rPr>
        <w:t>49.99</w:t>
      </w:r>
      <w:r>
        <w:rPr>
          <w:rFonts w:hint="eastAsia" w:eastAsia="仿宋"/>
          <w:color w:val="auto"/>
          <w:szCs w:val="28"/>
        </w:rPr>
        <w:t>万元，植物措施投资</w:t>
      </w:r>
      <w:r>
        <w:rPr>
          <w:rFonts w:hint="eastAsia" w:eastAsia="仿宋"/>
          <w:color w:val="auto"/>
          <w:szCs w:val="28"/>
          <w:lang w:val="en-US" w:eastAsia="zh-CN"/>
        </w:rPr>
        <w:t>47.88</w:t>
      </w:r>
      <w:r>
        <w:rPr>
          <w:rFonts w:hint="eastAsia" w:eastAsia="仿宋"/>
          <w:color w:val="auto"/>
          <w:szCs w:val="28"/>
        </w:rPr>
        <w:t>万元，临时措施投资</w:t>
      </w:r>
      <w:r>
        <w:rPr>
          <w:rFonts w:hint="eastAsia" w:eastAsia="仿宋"/>
          <w:color w:val="auto"/>
          <w:szCs w:val="28"/>
          <w:lang w:val="en-US" w:eastAsia="zh-CN"/>
        </w:rPr>
        <w:t>36.61</w:t>
      </w:r>
      <w:r>
        <w:rPr>
          <w:rFonts w:hint="eastAsia" w:eastAsia="仿宋"/>
          <w:color w:val="auto"/>
          <w:szCs w:val="28"/>
        </w:rPr>
        <w:t>万元，独立费用</w:t>
      </w:r>
      <w:r>
        <w:rPr>
          <w:rFonts w:hint="eastAsia" w:eastAsia="仿宋"/>
          <w:color w:val="auto"/>
          <w:szCs w:val="28"/>
          <w:lang w:val="en-US" w:eastAsia="zh-CN"/>
        </w:rPr>
        <w:t>18.51</w:t>
      </w:r>
      <w:r>
        <w:rPr>
          <w:rFonts w:hint="eastAsia" w:eastAsia="仿宋"/>
          <w:color w:val="auto"/>
          <w:szCs w:val="28"/>
        </w:rPr>
        <w:t>万元（水土保持监测费</w:t>
      </w:r>
      <w:r>
        <w:rPr>
          <w:rFonts w:hint="eastAsia" w:eastAsia="仿宋"/>
          <w:color w:val="auto"/>
          <w:szCs w:val="28"/>
          <w:lang w:val="en-US" w:eastAsia="zh-CN"/>
        </w:rPr>
        <w:t>9.52</w:t>
      </w:r>
      <w:r>
        <w:rPr>
          <w:rFonts w:hint="eastAsia" w:eastAsia="仿宋"/>
          <w:color w:val="auto"/>
          <w:szCs w:val="28"/>
        </w:rPr>
        <w:t>万元，水土保持监理</w:t>
      </w:r>
      <w:r>
        <w:rPr>
          <w:rFonts w:hint="eastAsia" w:eastAsia="仿宋"/>
          <w:color w:val="auto"/>
          <w:szCs w:val="28"/>
          <w:lang w:val="en-US" w:eastAsia="zh-CN"/>
        </w:rPr>
        <w:t>纳入主体监理0</w:t>
      </w:r>
      <w:r>
        <w:rPr>
          <w:rFonts w:hint="eastAsia" w:eastAsia="仿宋"/>
          <w:color w:val="auto"/>
          <w:szCs w:val="28"/>
        </w:rPr>
        <w:t>万元），基本预备费</w:t>
      </w:r>
      <w:r>
        <w:rPr>
          <w:rFonts w:hint="eastAsia" w:eastAsia="仿宋"/>
          <w:color w:val="auto"/>
          <w:szCs w:val="28"/>
          <w:lang w:val="en-US" w:eastAsia="zh-CN"/>
        </w:rPr>
        <w:t>2.78</w:t>
      </w:r>
      <w:r>
        <w:rPr>
          <w:rFonts w:hint="eastAsia" w:eastAsia="仿宋"/>
          <w:color w:val="auto"/>
          <w:szCs w:val="28"/>
        </w:rPr>
        <w:t>万元，水土保持补偿费</w:t>
      </w:r>
      <w:r>
        <w:rPr>
          <w:rFonts w:hint="eastAsia" w:eastAsia="仿宋"/>
          <w:color w:val="auto"/>
          <w:szCs w:val="28"/>
          <w:lang w:val="en-US" w:eastAsia="zh-CN"/>
        </w:rPr>
        <w:t>0</w:t>
      </w:r>
      <w:r>
        <w:rPr>
          <w:rFonts w:hint="eastAsia" w:eastAsia="仿宋"/>
          <w:color w:val="auto"/>
          <w:szCs w:val="28"/>
        </w:rPr>
        <w:t>万元。</w:t>
      </w:r>
    </w:p>
    <w:p w14:paraId="745E5408">
      <w:pPr>
        <w:widowControl w:val="0"/>
        <w:pBdr>
          <w:top w:val="none" w:color="auto" w:sz="0" w:space="1"/>
          <w:left w:val="none" w:color="auto" w:sz="0" w:space="4"/>
          <w:bottom w:val="none" w:color="auto" w:sz="0" w:space="1"/>
          <w:right w:val="none" w:color="auto" w:sz="0" w:space="4"/>
          <w:between w:val="none" w:color="auto" w:sz="0" w:space="0"/>
        </w:pBdr>
        <w:spacing w:line="360" w:lineRule="auto"/>
        <w:ind w:firstLine="560" w:firstLineChars="200"/>
        <w:jc w:val="both"/>
        <w:rPr>
          <w:rFonts w:eastAsia="仿宋"/>
          <w:color w:val="auto"/>
          <w:szCs w:val="28"/>
          <w:highlight w:val="none"/>
        </w:rPr>
      </w:pPr>
    </w:p>
    <w:p w14:paraId="31009B31">
      <w:pPr>
        <w:rPr>
          <w:color w:val="auto"/>
        </w:rPr>
      </w:pPr>
      <w:r>
        <w:rPr>
          <w:color w:val="auto"/>
        </w:rPr>
        <w:br w:type="page"/>
      </w:r>
    </w:p>
    <w:p w14:paraId="78161438">
      <w:pPr>
        <w:pStyle w:val="20"/>
        <w:rPr>
          <w:rFonts w:eastAsia="仿宋"/>
          <w:bCs w:val="0"/>
          <w:color w:val="auto"/>
        </w:rPr>
      </w:pPr>
      <w:r>
        <w:rPr>
          <w:color w:val="auto"/>
        </w:rPr>
        <w:t>表</w:t>
      </w:r>
      <w:r>
        <w:rPr>
          <w:rFonts w:hint="eastAsia"/>
          <w:color w:val="auto"/>
        </w:rPr>
        <w:t>3</w:t>
      </w:r>
      <w:r>
        <w:rPr>
          <w:rFonts w:hint="eastAsia"/>
          <w:color w:val="auto"/>
          <w:lang w:val="en-US" w:eastAsia="zh-CN"/>
        </w:rPr>
        <w:t>.6-1</w:t>
      </w:r>
      <w:r>
        <w:rPr>
          <w:color w:val="auto"/>
        </w:rPr>
        <w:t xml:space="preserve"> 项目实际完成的水土保持投资汇总</w:t>
      </w:r>
    </w:p>
    <w:tbl>
      <w:tblPr>
        <w:tblStyle w:val="14"/>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463"/>
        <w:gridCol w:w="2591"/>
        <w:gridCol w:w="1034"/>
        <w:gridCol w:w="957"/>
        <w:gridCol w:w="943"/>
        <w:gridCol w:w="736"/>
        <w:gridCol w:w="944"/>
        <w:gridCol w:w="1093"/>
      </w:tblGrid>
      <w:tr w14:paraId="19BF2D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vMerge w:val="restart"/>
            <w:tcBorders>
              <w:tl2br w:val="nil"/>
              <w:tr2bl w:val="nil"/>
            </w:tcBorders>
            <w:noWrap w:val="0"/>
            <w:tcMar>
              <w:top w:w="15" w:type="dxa"/>
              <w:left w:w="15" w:type="dxa"/>
              <w:right w:w="15" w:type="dxa"/>
            </w:tcMar>
            <w:vAlign w:val="center"/>
          </w:tcPr>
          <w:p w14:paraId="21FAC41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bookmarkStart w:id="69" w:name="_Toc19829"/>
            <w:r>
              <w:rPr>
                <w:rFonts w:hint="eastAsia" w:ascii="Times New Roman" w:hAnsi="Times New Roman" w:cs="Times New Roman"/>
                <w:sz w:val="24"/>
                <w:szCs w:val="24"/>
              </w:rPr>
              <w:t>序号</w:t>
            </w:r>
          </w:p>
        </w:tc>
        <w:tc>
          <w:tcPr>
            <w:tcW w:w="1478" w:type="pct"/>
            <w:vMerge w:val="restart"/>
            <w:tcBorders>
              <w:tl2br w:val="nil"/>
              <w:tr2bl w:val="nil"/>
            </w:tcBorders>
            <w:noWrap w:val="0"/>
            <w:tcMar>
              <w:top w:w="15" w:type="dxa"/>
              <w:left w:w="15" w:type="dxa"/>
              <w:right w:w="15" w:type="dxa"/>
            </w:tcMar>
            <w:vAlign w:val="center"/>
          </w:tcPr>
          <w:p w14:paraId="7242B07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工程或费用名称</w:t>
            </w:r>
          </w:p>
        </w:tc>
        <w:tc>
          <w:tcPr>
            <w:tcW w:w="590" w:type="pct"/>
            <w:tcBorders>
              <w:tl2br w:val="nil"/>
              <w:tr2bl w:val="nil"/>
            </w:tcBorders>
            <w:noWrap w:val="0"/>
            <w:tcMar>
              <w:top w:w="15" w:type="dxa"/>
              <w:left w:w="15" w:type="dxa"/>
              <w:right w:w="15" w:type="dxa"/>
            </w:tcMar>
            <w:vAlign w:val="center"/>
          </w:tcPr>
          <w:p w14:paraId="3022DFD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建安</w:t>
            </w:r>
          </w:p>
        </w:tc>
        <w:tc>
          <w:tcPr>
            <w:tcW w:w="1084" w:type="pct"/>
            <w:gridSpan w:val="2"/>
            <w:tcBorders>
              <w:tl2br w:val="nil"/>
              <w:tr2bl w:val="nil"/>
            </w:tcBorders>
            <w:noWrap w:val="0"/>
            <w:tcMar>
              <w:top w:w="15" w:type="dxa"/>
              <w:left w:w="15" w:type="dxa"/>
              <w:right w:w="15" w:type="dxa"/>
            </w:tcMar>
            <w:vAlign w:val="center"/>
          </w:tcPr>
          <w:p w14:paraId="713AF5A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林草措施费</w:t>
            </w:r>
          </w:p>
        </w:tc>
        <w:tc>
          <w:tcPr>
            <w:tcW w:w="420" w:type="pct"/>
            <w:vMerge w:val="restart"/>
            <w:tcBorders>
              <w:tl2br w:val="nil"/>
              <w:tr2bl w:val="nil"/>
            </w:tcBorders>
            <w:noWrap w:val="0"/>
            <w:tcMar>
              <w:top w:w="15" w:type="dxa"/>
              <w:left w:w="15" w:type="dxa"/>
              <w:right w:w="15" w:type="dxa"/>
            </w:tcMar>
            <w:vAlign w:val="center"/>
          </w:tcPr>
          <w:p w14:paraId="7D4324F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设备费</w:t>
            </w:r>
          </w:p>
        </w:tc>
        <w:tc>
          <w:tcPr>
            <w:tcW w:w="538" w:type="pct"/>
            <w:vMerge w:val="restart"/>
            <w:tcBorders>
              <w:tl2br w:val="nil"/>
              <w:tr2bl w:val="nil"/>
            </w:tcBorders>
            <w:noWrap w:val="0"/>
            <w:tcMar>
              <w:top w:w="15" w:type="dxa"/>
              <w:left w:w="15" w:type="dxa"/>
              <w:right w:w="15" w:type="dxa"/>
            </w:tcMar>
            <w:vAlign w:val="center"/>
          </w:tcPr>
          <w:p w14:paraId="303CCDA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独立</w:t>
            </w:r>
          </w:p>
          <w:p w14:paraId="4AF17A7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费用</w:t>
            </w:r>
          </w:p>
        </w:tc>
        <w:tc>
          <w:tcPr>
            <w:tcW w:w="623" w:type="pct"/>
            <w:vMerge w:val="restart"/>
            <w:tcBorders>
              <w:tl2br w:val="nil"/>
              <w:tr2bl w:val="nil"/>
            </w:tcBorders>
            <w:noWrap w:val="0"/>
            <w:tcMar>
              <w:top w:w="15" w:type="dxa"/>
              <w:left w:w="15" w:type="dxa"/>
              <w:right w:w="15" w:type="dxa"/>
            </w:tcMar>
            <w:vAlign w:val="center"/>
          </w:tcPr>
          <w:p w14:paraId="4B01ECF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合计</w:t>
            </w:r>
          </w:p>
        </w:tc>
      </w:tr>
      <w:tr w14:paraId="4030A4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vMerge w:val="continue"/>
            <w:tcBorders>
              <w:tl2br w:val="nil"/>
              <w:tr2bl w:val="nil"/>
            </w:tcBorders>
            <w:noWrap w:val="0"/>
            <w:tcMar>
              <w:top w:w="15" w:type="dxa"/>
              <w:left w:w="15" w:type="dxa"/>
              <w:right w:w="15" w:type="dxa"/>
            </w:tcMar>
            <w:vAlign w:val="center"/>
          </w:tcPr>
          <w:p w14:paraId="5AAB7C6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1478" w:type="pct"/>
            <w:vMerge w:val="continue"/>
            <w:tcBorders>
              <w:tl2br w:val="nil"/>
              <w:tr2bl w:val="nil"/>
            </w:tcBorders>
            <w:noWrap w:val="0"/>
            <w:tcMar>
              <w:top w:w="15" w:type="dxa"/>
              <w:left w:w="15" w:type="dxa"/>
              <w:right w:w="15" w:type="dxa"/>
            </w:tcMar>
            <w:vAlign w:val="center"/>
          </w:tcPr>
          <w:p w14:paraId="417ED775">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590" w:type="pct"/>
            <w:tcBorders>
              <w:tl2br w:val="nil"/>
              <w:tr2bl w:val="nil"/>
            </w:tcBorders>
            <w:noWrap w:val="0"/>
            <w:tcMar>
              <w:top w:w="15" w:type="dxa"/>
              <w:left w:w="15" w:type="dxa"/>
              <w:right w:w="15" w:type="dxa"/>
            </w:tcMar>
            <w:vAlign w:val="center"/>
          </w:tcPr>
          <w:p w14:paraId="26BFA13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工程费</w:t>
            </w:r>
          </w:p>
        </w:tc>
        <w:tc>
          <w:tcPr>
            <w:tcW w:w="546" w:type="pct"/>
            <w:tcBorders>
              <w:tl2br w:val="nil"/>
              <w:tr2bl w:val="nil"/>
            </w:tcBorders>
            <w:noWrap w:val="0"/>
            <w:tcMar>
              <w:top w:w="15" w:type="dxa"/>
              <w:left w:w="15" w:type="dxa"/>
              <w:right w:w="15" w:type="dxa"/>
            </w:tcMar>
            <w:vAlign w:val="center"/>
          </w:tcPr>
          <w:p w14:paraId="6538194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栽（种）植费</w:t>
            </w:r>
          </w:p>
        </w:tc>
        <w:tc>
          <w:tcPr>
            <w:tcW w:w="538" w:type="pct"/>
            <w:tcBorders>
              <w:tl2br w:val="nil"/>
              <w:tr2bl w:val="nil"/>
            </w:tcBorders>
            <w:noWrap w:val="0"/>
            <w:tcMar>
              <w:top w:w="15" w:type="dxa"/>
              <w:left w:w="15" w:type="dxa"/>
              <w:right w:w="15" w:type="dxa"/>
            </w:tcMar>
            <w:vAlign w:val="center"/>
          </w:tcPr>
          <w:p w14:paraId="738845B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苗木、草、种子费</w:t>
            </w:r>
          </w:p>
        </w:tc>
        <w:tc>
          <w:tcPr>
            <w:tcW w:w="420" w:type="pct"/>
            <w:vMerge w:val="continue"/>
            <w:tcBorders>
              <w:tl2br w:val="nil"/>
              <w:tr2bl w:val="nil"/>
            </w:tcBorders>
            <w:noWrap w:val="0"/>
            <w:tcMar>
              <w:top w:w="15" w:type="dxa"/>
              <w:left w:w="15" w:type="dxa"/>
              <w:right w:w="15" w:type="dxa"/>
            </w:tcMar>
            <w:vAlign w:val="center"/>
          </w:tcPr>
          <w:p w14:paraId="1B94B87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538" w:type="pct"/>
            <w:vMerge w:val="continue"/>
            <w:tcBorders>
              <w:tl2br w:val="nil"/>
              <w:tr2bl w:val="nil"/>
            </w:tcBorders>
            <w:noWrap w:val="0"/>
            <w:tcMar>
              <w:top w:w="15" w:type="dxa"/>
              <w:left w:w="15" w:type="dxa"/>
              <w:right w:w="15" w:type="dxa"/>
            </w:tcMar>
            <w:vAlign w:val="center"/>
          </w:tcPr>
          <w:p w14:paraId="10AD000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c>
          <w:tcPr>
            <w:tcW w:w="623" w:type="pct"/>
            <w:vMerge w:val="continue"/>
            <w:tcBorders>
              <w:tl2br w:val="nil"/>
              <w:tr2bl w:val="nil"/>
            </w:tcBorders>
            <w:noWrap w:val="0"/>
            <w:tcMar>
              <w:top w:w="15" w:type="dxa"/>
              <w:left w:w="15" w:type="dxa"/>
              <w:right w:w="15" w:type="dxa"/>
            </w:tcMar>
            <w:vAlign w:val="center"/>
          </w:tcPr>
          <w:p w14:paraId="4B16296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p>
        </w:tc>
      </w:tr>
      <w:tr w14:paraId="3809B1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64" w:type="pct"/>
            <w:tcBorders>
              <w:tl2br w:val="nil"/>
              <w:tr2bl w:val="nil"/>
            </w:tcBorders>
            <w:noWrap w:val="0"/>
            <w:tcMar>
              <w:top w:w="15" w:type="dxa"/>
              <w:left w:w="15" w:type="dxa"/>
              <w:right w:w="15" w:type="dxa"/>
            </w:tcMar>
            <w:vAlign w:val="center"/>
          </w:tcPr>
          <w:p w14:paraId="354130F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一</w:t>
            </w:r>
          </w:p>
        </w:tc>
        <w:tc>
          <w:tcPr>
            <w:tcW w:w="1478" w:type="pct"/>
            <w:tcBorders>
              <w:tl2br w:val="nil"/>
              <w:tr2bl w:val="nil"/>
            </w:tcBorders>
            <w:noWrap w:val="0"/>
            <w:tcMar>
              <w:top w:w="15" w:type="dxa"/>
              <w:left w:w="15" w:type="dxa"/>
              <w:right w:w="15" w:type="dxa"/>
            </w:tcMar>
            <w:vAlign w:val="center"/>
          </w:tcPr>
          <w:p w14:paraId="5C273B5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第一部分 工程措施</w:t>
            </w:r>
          </w:p>
        </w:tc>
        <w:tc>
          <w:tcPr>
            <w:tcW w:w="1034" w:type="dxa"/>
            <w:tcBorders>
              <w:tl2br w:val="nil"/>
              <w:tr2bl w:val="nil"/>
            </w:tcBorders>
            <w:noWrap w:val="0"/>
            <w:tcMar>
              <w:top w:w="15" w:type="dxa"/>
              <w:left w:w="15" w:type="dxa"/>
              <w:right w:w="15" w:type="dxa"/>
            </w:tcMar>
            <w:vAlign w:val="center"/>
          </w:tcPr>
          <w:p w14:paraId="4BCC8208">
            <w:pPr>
              <w:pStyle w:val="18"/>
              <w:rPr>
                <w:rFonts w:hint="default"/>
                <w:color w:val="auto"/>
                <w:lang w:val="en-US" w:eastAsia="zh-CN"/>
              </w:rPr>
            </w:pPr>
            <w:r>
              <w:rPr>
                <w:rFonts w:hint="default"/>
                <w:color w:val="auto"/>
                <w:lang w:val="en-US" w:eastAsia="zh-CN"/>
              </w:rPr>
              <w:t>49.99</w:t>
            </w:r>
          </w:p>
        </w:tc>
        <w:tc>
          <w:tcPr>
            <w:tcW w:w="1900" w:type="dxa"/>
            <w:gridSpan w:val="2"/>
            <w:tcBorders>
              <w:tl2br w:val="nil"/>
              <w:tr2bl w:val="nil"/>
            </w:tcBorders>
            <w:noWrap w:val="0"/>
            <w:tcMar>
              <w:top w:w="15" w:type="dxa"/>
              <w:left w:w="15" w:type="dxa"/>
              <w:right w:w="15" w:type="dxa"/>
            </w:tcMar>
            <w:vAlign w:val="center"/>
          </w:tcPr>
          <w:p w14:paraId="17D9047A">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200AD732">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4CB9165D">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0469DCEC">
            <w:pPr>
              <w:pStyle w:val="18"/>
              <w:ind w:firstLine="0" w:firstLineChars="0"/>
              <w:rPr>
                <w:rFonts w:hint="eastAsia"/>
                <w:color w:val="auto"/>
                <w:lang w:val="en-US" w:eastAsia="zh-CN"/>
              </w:rPr>
            </w:pPr>
            <w:r>
              <w:rPr>
                <w:rFonts w:hint="default"/>
                <w:color w:val="auto"/>
                <w:lang w:val="en-US" w:eastAsia="zh-CN"/>
              </w:rPr>
              <w:t>49.99</w:t>
            </w:r>
          </w:p>
        </w:tc>
      </w:tr>
      <w:tr w14:paraId="247131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5B1CAA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5477326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主体工程防治区</w:t>
            </w:r>
          </w:p>
        </w:tc>
        <w:tc>
          <w:tcPr>
            <w:tcW w:w="1034" w:type="dxa"/>
            <w:tcBorders>
              <w:tl2br w:val="nil"/>
              <w:tr2bl w:val="nil"/>
            </w:tcBorders>
            <w:noWrap w:val="0"/>
            <w:tcMar>
              <w:top w:w="15" w:type="dxa"/>
              <w:left w:w="15" w:type="dxa"/>
              <w:right w:w="15" w:type="dxa"/>
            </w:tcMar>
            <w:vAlign w:val="center"/>
          </w:tcPr>
          <w:p w14:paraId="77CD9952">
            <w:pPr>
              <w:pStyle w:val="18"/>
              <w:rPr>
                <w:rFonts w:hint="default"/>
                <w:color w:val="auto"/>
                <w:lang w:val="en-US" w:eastAsia="zh-CN"/>
              </w:rPr>
            </w:pPr>
            <w:r>
              <w:rPr>
                <w:rFonts w:hint="default"/>
                <w:color w:val="auto"/>
                <w:lang w:val="en-US" w:eastAsia="zh-CN"/>
              </w:rPr>
              <w:t>49.95</w:t>
            </w:r>
          </w:p>
        </w:tc>
        <w:tc>
          <w:tcPr>
            <w:tcW w:w="1900" w:type="dxa"/>
            <w:gridSpan w:val="2"/>
            <w:tcBorders>
              <w:tl2br w:val="nil"/>
              <w:tr2bl w:val="nil"/>
            </w:tcBorders>
            <w:noWrap w:val="0"/>
            <w:tcMar>
              <w:top w:w="15" w:type="dxa"/>
              <w:left w:w="15" w:type="dxa"/>
              <w:right w:w="15" w:type="dxa"/>
            </w:tcMar>
            <w:vAlign w:val="center"/>
          </w:tcPr>
          <w:p w14:paraId="2343757D">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0227B7BF">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5B56C5DA">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53DC76CC">
            <w:pPr>
              <w:pStyle w:val="18"/>
              <w:ind w:firstLine="0" w:firstLineChars="0"/>
              <w:rPr>
                <w:rFonts w:hint="eastAsia"/>
                <w:color w:val="auto"/>
                <w:lang w:val="en-US" w:eastAsia="zh-CN"/>
              </w:rPr>
            </w:pPr>
            <w:r>
              <w:rPr>
                <w:rFonts w:hint="default"/>
                <w:color w:val="auto"/>
                <w:lang w:val="en-US" w:eastAsia="zh-CN"/>
              </w:rPr>
              <w:t>49.95</w:t>
            </w:r>
          </w:p>
        </w:tc>
      </w:tr>
      <w:tr w14:paraId="4E2010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7638853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2</w:t>
            </w:r>
          </w:p>
        </w:tc>
        <w:tc>
          <w:tcPr>
            <w:tcW w:w="1478" w:type="pct"/>
            <w:tcBorders>
              <w:tl2br w:val="nil"/>
              <w:tr2bl w:val="nil"/>
            </w:tcBorders>
            <w:noWrap w:val="0"/>
            <w:tcMar>
              <w:top w:w="15" w:type="dxa"/>
              <w:left w:w="15" w:type="dxa"/>
              <w:right w:w="15" w:type="dxa"/>
            </w:tcMar>
            <w:vAlign w:val="center"/>
          </w:tcPr>
          <w:p w14:paraId="0435913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施工便道防治区</w:t>
            </w:r>
          </w:p>
        </w:tc>
        <w:tc>
          <w:tcPr>
            <w:tcW w:w="1034" w:type="dxa"/>
            <w:tcBorders>
              <w:tl2br w:val="nil"/>
              <w:tr2bl w:val="nil"/>
            </w:tcBorders>
            <w:noWrap w:val="0"/>
            <w:tcMar>
              <w:top w:w="15" w:type="dxa"/>
              <w:left w:w="15" w:type="dxa"/>
              <w:right w:w="15" w:type="dxa"/>
            </w:tcMar>
            <w:vAlign w:val="center"/>
          </w:tcPr>
          <w:p w14:paraId="590424D7">
            <w:pPr>
              <w:pStyle w:val="18"/>
              <w:rPr>
                <w:rFonts w:hint="default"/>
                <w:color w:val="auto"/>
                <w:lang w:val="en-US" w:eastAsia="zh-CN"/>
              </w:rPr>
            </w:pPr>
            <w:r>
              <w:rPr>
                <w:rFonts w:hint="default"/>
                <w:color w:val="auto"/>
                <w:lang w:val="en-US" w:eastAsia="zh-CN"/>
              </w:rPr>
              <w:t>0.04</w:t>
            </w:r>
          </w:p>
        </w:tc>
        <w:tc>
          <w:tcPr>
            <w:tcW w:w="1900" w:type="dxa"/>
            <w:gridSpan w:val="2"/>
            <w:tcBorders>
              <w:tl2br w:val="nil"/>
              <w:tr2bl w:val="nil"/>
            </w:tcBorders>
            <w:noWrap w:val="0"/>
            <w:tcMar>
              <w:top w:w="15" w:type="dxa"/>
              <w:left w:w="15" w:type="dxa"/>
              <w:right w:w="15" w:type="dxa"/>
            </w:tcMar>
            <w:vAlign w:val="center"/>
          </w:tcPr>
          <w:p w14:paraId="4FCFDC22">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53C1593A">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26032D3C">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2D9080BC">
            <w:pPr>
              <w:pStyle w:val="18"/>
              <w:ind w:firstLine="0" w:firstLineChars="0"/>
              <w:rPr>
                <w:rFonts w:hint="default"/>
                <w:color w:val="auto"/>
                <w:lang w:val="en-US" w:eastAsia="zh-CN"/>
              </w:rPr>
            </w:pPr>
            <w:r>
              <w:rPr>
                <w:rFonts w:hint="default"/>
                <w:color w:val="auto"/>
                <w:lang w:val="en-US" w:eastAsia="zh-CN"/>
              </w:rPr>
              <w:t>0.04</w:t>
            </w:r>
          </w:p>
        </w:tc>
      </w:tr>
      <w:tr w14:paraId="797253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5819A2E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3</w:t>
            </w:r>
          </w:p>
        </w:tc>
        <w:tc>
          <w:tcPr>
            <w:tcW w:w="1478" w:type="pct"/>
            <w:tcBorders>
              <w:tl2br w:val="nil"/>
              <w:tr2bl w:val="nil"/>
            </w:tcBorders>
            <w:noWrap w:val="0"/>
            <w:tcMar>
              <w:top w:w="15" w:type="dxa"/>
              <w:left w:w="15" w:type="dxa"/>
              <w:right w:w="15" w:type="dxa"/>
            </w:tcMar>
            <w:vAlign w:val="center"/>
          </w:tcPr>
          <w:p w14:paraId="54C0604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施工生产生活防治区</w:t>
            </w:r>
          </w:p>
        </w:tc>
        <w:tc>
          <w:tcPr>
            <w:tcW w:w="1034" w:type="dxa"/>
            <w:tcBorders>
              <w:tl2br w:val="nil"/>
              <w:tr2bl w:val="nil"/>
            </w:tcBorders>
            <w:noWrap w:val="0"/>
            <w:tcMar>
              <w:top w:w="15" w:type="dxa"/>
              <w:left w:w="15" w:type="dxa"/>
              <w:right w:w="15" w:type="dxa"/>
            </w:tcMar>
            <w:vAlign w:val="center"/>
          </w:tcPr>
          <w:p w14:paraId="0BA34489">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087B779E">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4B06A87B">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0AA88E14">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6E2EF90D">
            <w:pPr>
              <w:pStyle w:val="18"/>
              <w:rPr>
                <w:rFonts w:hint="default"/>
                <w:color w:val="auto"/>
                <w:lang w:val="en-US" w:eastAsia="zh-CN"/>
              </w:rPr>
            </w:pPr>
          </w:p>
        </w:tc>
      </w:tr>
      <w:tr w14:paraId="2AACEE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74982E7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二</w:t>
            </w:r>
          </w:p>
        </w:tc>
        <w:tc>
          <w:tcPr>
            <w:tcW w:w="1478" w:type="pct"/>
            <w:tcBorders>
              <w:tl2br w:val="nil"/>
              <w:tr2bl w:val="nil"/>
            </w:tcBorders>
            <w:noWrap w:val="0"/>
            <w:tcMar>
              <w:top w:w="15" w:type="dxa"/>
              <w:left w:w="15" w:type="dxa"/>
              <w:right w:w="15" w:type="dxa"/>
            </w:tcMar>
            <w:vAlign w:val="center"/>
          </w:tcPr>
          <w:p w14:paraId="19486DF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第二部分 植物措施</w:t>
            </w:r>
          </w:p>
        </w:tc>
        <w:tc>
          <w:tcPr>
            <w:tcW w:w="1034" w:type="dxa"/>
            <w:tcBorders>
              <w:tl2br w:val="nil"/>
              <w:tr2bl w:val="nil"/>
            </w:tcBorders>
            <w:noWrap w:val="0"/>
            <w:tcMar>
              <w:top w:w="15" w:type="dxa"/>
              <w:left w:w="15" w:type="dxa"/>
              <w:right w:w="15" w:type="dxa"/>
            </w:tcMar>
            <w:vAlign w:val="center"/>
          </w:tcPr>
          <w:p w14:paraId="713109CC">
            <w:pPr>
              <w:pStyle w:val="18"/>
              <w:rPr>
                <w:rFonts w:hint="eastAsia"/>
                <w:color w:val="auto"/>
                <w:lang w:val="en-US" w:eastAsia="zh-CN"/>
              </w:rPr>
            </w:pPr>
          </w:p>
        </w:tc>
        <w:tc>
          <w:tcPr>
            <w:tcW w:w="950" w:type="dxa"/>
            <w:tcBorders>
              <w:tl2br w:val="nil"/>
              <w:tr2bl w:val="nil"/>
            </w:tcBorders>
            <w:noWrap w:val="0"/>
            <w:tcMar>
              <w:top w:w="15" w:type="dxa"/>
              <w:left w:w="15" w:type="dxa"/>
              <w:right w:w="15" w:type="dxa"/>
            </w:tcMar>
            <w:vAlign w:val="center"/>
          </w:tcPr>
          <w:p w14:paraId="0B6F6DC7">
            <w:pPr>
              <w:pStyle w:val="18"/>
              <w:rPr>
                <w:rFonts w:hint="default"/>
                <w:color w:val="auto"/>
                <w:lang w:val="en-US" w:eastAsia="zh-CN"/>
              </w:rPr>
            </w:pPr>
            <w:r>
              <w:rPr>
                <w:rFonts w:hint="default"/>
                <w:color w:val="auto"/>
                <w:lang w:val="en-US" w:eastAsia="zh-CN"/>
              </w:rPr>
              <w:t>17.61</w:t>
            </w:r>
          </w:p>
        </w:tc>
        <w:tc>
          <w:tcPr>
            <w:tcW w:w="950" w:type="dxa"/>
            <w:tcBorders>
              <w:tl2br w:val="nil"/>
              <w:tr2bl w:val="nil"/>
            </w:tcBorders>
            <w:noWrap w:val="0"/>
            <w:tcMar>
              <w:top w:w="15" w:type="dxa"/>
              <w:left w:w="15" w:type="dxa"/>
              <w:right w:w="15" w:type="dxa"/>
            </w:tcMar>
            <w:vAlign w:val="center"/>
          </w:tcPr>
          <w:p w14:paraId="5CD920FD">
            <w:pPr>
              <w:pStyle w:val="18"/>
              <w:rPr>
                <w:rFonts w:hint="default"/>
                <w:color w:val="auto"/>
                <w:lang w:val="en-US" w:eastAsia="zh-CN"/>
              </w:rPr>
            </w:pPr>
            <w:r>
              <w:rPr>
                <w:rFonts w:hint="default"/>
                <w:color w:val="auto"/>
                <w:lang w:val="en-US" w:eastAsia="zh-CN"/>
              </w:rPr>
              <w:t>30.27</w:t>
            </w:r>
          </w:p>
        </w:tc>
        <w:tc>
          <w:tcPr>
            <w:tcW w:w="736" w:type="dxa"/>
            <w:tcBorders>
              <w:tl2br w:val="nil"/>
              <w:tr2bl w:val="nil"/>
            </w:tcBorders>
            <w:noWrap w:val="0"/>
            <w:tcMar>
              <w:top w:w="15" w:type="dxa"/>
              <w:left w:w="15" w:type="dxa"/>
              <w:right w:w="15" w:type="dxa"/>
            </w:tcMar>
            <w:vAlign w:val="center"/>
          </w:tcPr>
          <w:p w14:paraId="090550FB">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529DC2DE">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659D91CA">
            <w:pPr>
              <w:pStyle w:val="18"/>
              <w:rPr>
                <w:rFonts w:hint="eastAsia"/>
                <w:color w:val="auto"/>
                <w:lang w:val="en-US" w:eastAsia="zh-CN"/>
              </w:rPr>
            </w:pPr>
            <w:r>
              <w:rPr>
                <w:rFonts w:hint="default"/>
                <w:color w:val="auto"/>
                <w:lang w:val="en-US" w:eastAsia="zh-CN"/>
              </w:rPr>
              <w:t>47.88</w:t>
            </w:r>
          </w:p>
        </w:tc>
      </w:tr>
      <w:tr w14:paraId="245C26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62E254E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269ED8C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主体工程防治区</w:t>
            </w:r>
          </w:p>
        </w:tc>
        <w:tc>
          <w:tcPr>
            <w:tcW w:w="1034" w:type="dxa"/>
            <w:tcBorders>
              <w:tl2br w:val="nil"/>
              <w:tr2bl w:val="nil"/>
            </w:tcBorders>
            <w:noWrap w:val="0"/>
            <w:tcMar>
              <w:top w:w="15" w:type="dxa"/>
              <w:left w:w="15" w:type="dxa"/>
              <w:right w:w="15" w:type="dxa"/>
            </w:tcMar>
            <w:vAlign w:val="center"/>
          </w:tcPr>
          <w:p w14:paraId="2EF4C392">
            <w:pPr>
              <w:pStyle w:val="18"/>
              <w:rPr>
                <w:rFonts w:hint="eastAsia"/>
                <w:color w:val="auto"/>
                <w:lang w:val="en-US" w:eastAsia="zh-CN"/>
              </w:rPr>
            </w:pPr>
          </w:p>
        </w:tc>
        <w:tc>
          <w:tcPr>
            <w:tcW w:w="950" w:type="dxa"/>
            <w:tcBorders>
              <w:tl2br w:val="nil"/>
              <w:tr2bl w:val="nil"/>
            </w:tcBorders>
            <w:noWrap w:val="0"/>
            <w:tcMar>
              <w:top w:w="15" w:type="dxa"/>
              <w:left w:w="15" w:type="dxa"/>
              <w:right w:w="15" w:type="dxa"/>
            </w:tcMar>
            <w:vAlign w:val="center"/>
          </w:tcPr>
          <w:p w14:paraId="28182786">
            <w:pPr>
              <w:pStyle w:val="18"/>
              <w:rPr>
                <w:rFonts w:hint="default"/>
                <w:color w:val="auto"/>
                <w:lang w:val="en-US" w:eastAsia="zh-CN"/>
              </w:rPr>
            </w:pPr>
            <w:r>
              <w:rPr>
                <w:rFonts w:hint="default"/>
                <w:color w:val="auto"/>
                <w:lang w:val="en-US" w:eastAsia="zh-CN"/>
              </w:rPr>
              <w:t>15.49</w:t>
            </w:r>
          </w:p>
        </w:tc>
        <w:tc>
          <w:tcPr>
            <w:tcW w:w="950" w:type="dxa"/>
            <w:tcBorders>
              <w:tl2br w:val="nil"/>
              <w:tr2bl w:val="nil"/>
            </w:tcBorders>
            <w:noWrap w:val="0"/>
            <w:tcMar>
              <w:top w:w="15" w:type="dxa"/>
              <w:left w:w="15" w:type="dxa"/>
              <w:right w:w="15" w:type="dxa"/>
            </w:tcMar>
            <w:vAlign w:val="center"/>
          </w:tcPr>
          <w:p w14:paraId="7AAD8113">
            <w:pPr>
              <w:pStyle w:val="18"/>
              <w:rPr>
                <w:rFonts w:hint="default"/>
                <w:color w:val="auto"/>
                <w:lang w:val="en-US" w:eastAsia="zh-CN"/>
              </w:rPr>
            </w:pPr>
            <w:r>
              <w:rPr>
                <w:rFonts w:hint="default"/>
                <w:color w:val="auto"/>
                <w:lang w:val="en-US" w:eastAsia="zh-CN"/>
              </w:rPr>
              <w:t>30.26</w:t>
            </w:r>
          </w:p>
        </w:tc>
        <w:tc>
          <w:tcPr>
            <w:tcW w:w="736" w:type="dxa"/>
            <w:tcBorders>
              <w:tl2br w:val="nil"/>
              <w:tr2bl w:val="nil"/>
            </w:tcBorders>
            <w:noWrap w:val="0"/>
            <w:tcMar>
              <w:top w:w="15" w:type="dxa"/>
              <w:left w:w="15" w:type="dxa"/>
              <w:right w:w="15" w:type="dxa"/>
            </w:tcMar>
            <w:vAlign w:val="center"/>
          </w:tcPr>
          <w:p w14:paraId="3AD0BC39">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007F33CA">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18329887">
            <w:pPr>
              <w:pStyle w:val="18"/>
              <w:rPr>
                <w:rFonts w:hint="eastAsia"/>
                <w:color w:val="auto"/>
                <w:lang w:val="en-US" w:eastAsia="zh-CN"/>
              </w:rPr>
            </w:pPr>
            <w:r>
              <w:rPr>
                <w:rFonts w:hint="default"/>
                <w:color w:val="auto"/>
                <w:lang w:val="en-US" w:eastAsia="zh-CN"/>
              </w:rPr>
              <w:t>45.75</w:t>
            </w:r>
          </w:p>
        </w:tc>
      </w:tr>
      <w:tr w14:paraId="4662E1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3890A4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cs="Times New Roman"/>
                <w:sz w:val="24"/>
                <w:szCs w:val="24"/>
                <w:lang w:val="en-US" w:eastAsia="zh-CN"/>
              </w:rPr>
              <w:t>2</w:t>
            </w:r>
          </w:p>
        </w:tc>
        <w:tc>
          <w:tcPr>
            <w:tcW w:w="1478" w:type="pct"/>
            <w:tcBorders>
              <w:tl2br w:val="nil"/>
              <w:tr2bl w:val="nil"/>
            </w:tcBorders>
            <w:noWrap w:val="0"/>
            <w:tcMar>
              <w:top w:w="15" w:type="dxa"/>
              <w:left w:w="15" w:type="dxa"/>
              <w:right w:w="15" w:type="dxa"/>
            </w:tcMar>
            <w:vAlign w:val="center"/>
          </w:tcPr>
          <w:p w14:paraId="36B2CBB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cs="Times New Roman"/>
                <w:sz w:val="24"/>
                <w:szCs w:val="24"/>
                <w:lang w:val="en-US" w:eastAsia="zh-CN"/>
              </w:rPr>
              <w:t>施工便道防治区</w:t>
            </w:r>
          </w:p>
        </w:tc>
        <w:tc>
          <w:tcPr>
            <w:tcW w:w="1034" w:type="dxa"/>
            <w:tcBorders>
              <w:tl2br w:val="nil"/>
              <w:tr2bl w:val="nil"/>
            </w:tcBorders>
            <w:noWrap w:val="0"/>
            <w:tcMar>
              <w:top w:w="15" w:type="dxa"/>
              <w:left w:w="15" w:type="dxa"/>
              <w:right w:w="15" w:type="dxa"/>
            </w:tcMar>
            <w:vAlign w:val="center"/>
          </w:tcPr>
          <w:p w14:paraId="5A295544">
            <w:pPr>
              <w:pStyle w:val="18"/>
              <w:rPr>
                <w:rFonts w:hint="eastAsia"/>
                <w:color w:val="auto"/>
                <w:lang w:val="en-US" w:eastAsia="zh-CN"/>
              </w:rPr>
            </w:pPr>
          </w:p>
        </w:tc>
        <w:tc>
          <w:tcPr>
            <w:tcW w:w="950" w:type="dxa"/>
            <w:tcBorders>
              <w:tl2br w:val="nil"/>
              <w:tr2bl w:val="nil"/>
            </w:tcBorders>
            <w:noWrap w:val="0"/>
            <w:tcMar>
              <w:top w:w="15" w:type="dxa"/>
              <w:left w:w="15" w:type="dxa"/>
              <w:right w:w="15" w:type="dxa"/>
            </w:tcMar>
            <w:vAlign w:val="center"/>
          </w:tcPr>
          <w:p w14:paraId="4A86E2BF">
            <w:pPr>
              <w:pStyle w:val="18"/>
              <w:rPr>
                <w:rFonts w:hint="default"/>
                <w:color w:val="auto"/>
                <w:lang w:val="en-US" w:eastAsia="zh-CN"/>
              </w:rPr>
            </w:pPr>
            <w:r>
              <w:rPr>
                <w:rFonts w:hint="default"/>
                <w:color w:val="auto"/>
                <w:lang w:val="en-US" w:eastAsia="zh-CN"/>
              </w:rPr>
              <w:t>0</w:t>
            </w:r>
          </w:p>
        </w:tc>
        <w:tc>
          <w:tcPr>
            <w:tcW w:w="950" w:type="dxa"/>
            <w:tcBorders>
              <w:tl2br w:val="nil"/>
              <w:tr2bl w:val="nil"/>
            </w:tcBorders>
            <w:noWrap w:val="0"/>
            <w:tcMar>
              <w:top w:w="15" w:type="dxa"/>
              <w:left w:w="15" w:type="dxa"/>
              <w:right w:w="15" w:type="dxa"/>
            </w:tcMar>
            <w:vAlign w:val="center"/>
          </w:tcPr>
          <w:p w14:paraId="2C9F6E88">
            <w:pPr>
              <w:pStyle w:val="18"/>
              <w:rPr>
                <w:rFonts w:hint="default"/>
                <w:color w:val="auto"/>
                <w:lang w:val="en-US" w:eastAsia="zh-CN"/>
              </w:rPr>
            </w:pPr>
            <w:r>
              <w:rPr>
                <w:rFonts w:hint="default"/>
                <w:color w:val="auto"/>
                <w:lang w:val="en-US" w:eastAsia="zh-CN"/>
              </w:rPr>
              <w:t>0.01</w:t>
            </w:r>
          </w:p>
        </w:tc>
        <w:tc>
          <w:tcPr>
            <w:tcW w:w="736" w:type="dxa"/>
            <w:tcBorders>
              <w:tl2br w:val="nil"/>
              <w:tr2bl w:val="nil"/>
            </w:tcBorders>
            <w:noWrap w:val="0"/>
            <w:tcMar>
              <w:top w:w="15" w:type="dxa"/>
              <w:left w:w="15" w:type="dxa"/>
              <w:right w:w="15" w:type="dxa"/>
            </w:tcMar>
            <w:vAlign w:val="center"/>
          </w:tcPr>
          <w:p w14:paraId="53DDB16A">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32858A5C">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31297827">
            <w:pPr>
              <w:pStyle w:val="18"/>
              <w:rPr>
                <w:rFonts w:hint="default"/>
                <w:color w:val="auto"/>
                <w:lang w:val="en-US" w:eastAsia="zh-CN"/>
              </w:rPr>
            </w:pPr>
            <w:r>
              <w:rPr>
                <w:rFonts w:hint="default"/>
                <w:color w:val="auto"/>
                <w:lang w:val="en-US" w:eastAsia="zh-CN"/>
              </w:rPr>
              <w:t>0.01</w:t>
            </w:r>
          </w:p>
        </w:tc>
      </w:tr>
      <w:tr w14:paraId="7311BD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40652A0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cs="Times New Roman"/>
                <w:sz w:val="24"/>
                <w:szCs w:val="24"/>
                <w:lang w:val="en-US" w:eastAsia="zh-CN"/>
              </w:rPr>
              <w:t>3</w:t>
            </w:r>
          </w:p>
        </w:tc>
        <w:tc>
          <w:tcPr>
            <w:tcW w:w="1478" w:type="pct"/>
            <w:tcBorders>
              <w:tl2br w:val="nil"/>
              <w:tr2bl w:val="nil"/>
            </w:tcBorders>
            <w:noWrap w:val="0"/>
            <w:tcMar>
              <w:top w:w="15" w:type="dxa"/>
              <w:left w:w="15" w:type="dxa"/>
              <w:right w:w="15" w:type="dxa"/>
            </w:tcMar>
            <w:vAlign w:val="center"/>
          </w:tcPr>
          <w:p w14:paraId="44B0A9D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cs="Times New Roman"/>
                <w:sz w:val="24"/>
                <w:szCs w:val="24"/>
                <w:lang w:val="en-US" w:eastAsia="zh-CN"/>
              </w:rPr>
              <w:t>施工生产生活防治区</w:t>
            </w:r>
          </w:p>
        </w:tc>
        <w:tc>
          <w:tcPr>
            <w:tcW w:w="1034" w:type="dxa"/>
            <w:tcBorders>
              <w:tl2br w:val="nil"/>
              <w:tr2bl w:val="nil"/>
            </w:tcBorders>
            <w:noWrap w:val="0"/>
            <w:tcMar>
              <w:top w:w="15" w:type="dxa"/>
              <w:left w:w="15" w:type="dxa"/>
              <w:right w:w="15" w:type="dxa"/>
            </w:tcMar>
            <w:vAlign w:val="center"/>
          </w:tcPr>
          <w:p w14:paraId="35193176">
            <w:pPr>
              <w:pStyle w:val="18"/>
              <w:rPr>
                <w:rFonts w:hint="eastAsia"/>
                <w:color w:val="auto"/>
                <w:lang w:val="en-US" w:eastAsia="zh-CN"/>
              </w:rPr>
            </w:pPr>
          </w:p>
        </w:tc>
        <w:tc>
          <w:tcPr>
            <w:tcW w:w="950" w:type="dxa"/>
            <w:tcBorders>
              <w:tl2br w:val="nil"/>
              <w:tr2bl w:val="nil"/>
            </w:tcBorders>
            <w:noWrap w:val="0"/>
            <w:tcMar>
              <w:top w:w="15" w:type="dxa"/>
              <w:left w:w="15" w:type="dxa"/>
              <w:right w:w="15" w:type="dxa"/>
            </w:tcMar>
            <w:vAlign w:val="center"/>
          </w:tcPr>
          <w:p w14:paraId="7ABCA0F9">
            <w:pPr>
              <w:pStyle w:val="18"/>
              <w:rPr>
                <w:rFonts w:hint="default"/>
                <w:color w:val="auto"/>
                <w:lang w:val="en-US" w:eastAsia="zh-CN"/>
              </w:rPr>
            </w:pPr>
            <w:r>
              <w:rPr>
                <w:rFonts w:hint="default"/>
                <w:color w:val="auto"/>
                <w:lang w:val="en-US" w:eastAsia="zh-CN"/>
              </w:rPr>
              <w:t>2.12</w:t>
            </w:r>
          </w:p>
        </w:tc>
        <w:tc>
          <w:tcPr>
            <w:tcW w:w="950" w:type="dxa"/>
            <w:tcBorders>
              <w:tl2br w:val="nil"/>
              <w:tr2bl w:val="nil"/>
            </w:tcBorders>
            <w:noWrap w:val="0"/>
            <w:tcMar>
              <w:top w:w="15" w:type="dxa"/>
              <w:left w:w="15" w:type="dxa"/>
              <w:right w:w="15" w:type="dxa"/>
            </w:tcMar>
            <w:vAlign w:val="center"/>
          </w:tcPr>
          <w:p w14:paraId="2AD78C6E">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7C4F8D16">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06471AE4">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2F3D662B">
            <w:pPr>
              <w:pStyle w:val="18"/>
              <w:rPr>
                <w:rFonts w:hint="default"/>
                <w:color w:val="auto"/>
                <w:lang w:val="en-US" w:eastAsia="zh-CN"/>
              </w:rPr>
            </w:pPr>
            <w:r>
              <w:rPr>
                <w:rFonts w:hint="default"/>
                <w:color w:val="auto"/>
                <w:lang w:val="en-US" w:eastAsia="zh-CN"/>
              </w:rPr>
              <w:t>2.12</w:t>
            </w:r>
          </w:p>
        </w:tc>
      </w:tr>
      <w:tr w14:paraId="3EFE82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4FFD39D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三</w:t>
            </w:r>
          </w:p>
        </w:tc>
        <w:tc>
          <w:tcPr>
            <w:tcW w:w="1478" w:type="pct"/>
            <w:tcBorders>
              <w:tl2br w:val="nil"/>
              <w:tr2bl w:val="nil"/>
            </w:tcBorders>
            <w:noWrap w:val="0"/>
            <w:tcMar>
              <w:top w:w="15" w:type="dxa"/>
              <w:left w:w="15" w:type="dxa"/>
              <w:right w:w="15" w:type="dxa"/>
            </w:tcMar>
            <w:vAlign w:val="center"/>
          </w:tcPr>
          <w:p w14:paraId="78CE908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第三部分施工临时工程</w:t>
            </w:r>
          </w:p>
        </w:tc>
        <w:tc>
          <w:tcPr>
            <w:tcW w:w="1034" w:type="dxa"/>
            <w:tcBorders>
              <w:tl2br w:val="nil"/>
              <w:tr2bl w:val="nil"/>
            </w:tcBorders>
            <w:noWrap w:val="0"/>
            <w:tcMar>
              <w:top w:w="15" w:type="dxa"/>
              <w:left w:w="15" w:type="dxa"/>
              <w:right w:w="15" w:type="dxa"/>
            </w:tcMar>
            <w:vAlign w:val="center"/>
          </w:tcPr>
          <w:p w14:paraId="41288143">
            <w:pPr>
              <w:pStyle w:val="18"/>
              <w:rPr>
                <w:rFonts w:hint="eastAsia"/>
                <w:color w:val="auto"/>
                <w:lang w:val="en-US" w:eastAsia="zh-CN"/>
              </w:rPr>
            </w:pPr>
            <w:r>
              <w:rPr>
                <w:rFonts w:hint="default"/>
                <w:color w:val="auto"/>
                <w:lang w:val="en-US" w:eastAsia="zh-CN"/>
              </w:rPr>
              <w:t>36.61</w:t>
            </w:r>
          </w:p>
        </w:tc>
        <w:tc>
          <w:tcPr>
            <w:tcW w:w="1900" w:type="dxa"/>
            <w:gridSpan w:val="2"/>
            <w:tcBorders>
              <w:tl2br w:val="nil"/>
              <w:tr2bl w:val="nil"/>
            </w:tcBorders>
            <w:noWrap w:val="0"/>
            <w:tcMar>
              <w:top w:w="15" w:type="dxa"/>
              <w:left w:w="15" w:type="dxa"/>
              <w:right w:w="15" w:type="dxa"/>
            </w:tcMar>
            <w:vAlign w:val="center"/>
          </w:tcPr>
          <w:p w14:paraId="68D834B1">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3283F777">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614FD12C">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75B00B3B">
            <w:pPr>
              <w:pStyle w:val="18"/>
              <w:ind w:firstLine="0" w:firstLineChars="0"/>
              <w:rPr>
                <w:rFonts w:hint="eastAsia"/>
                <w:color w:val="auto"/>
                <w:lang w:val="en-US" w:eastAsia="zh-CN"/>
              </w:rPr>
            </w:pPr>
            <w:r>
              <w:rPr>
                <w:rFonts w:hint="default"/>
                <w:color w:val="auto"/>
                <w:lang w:val="en-US" w:eastAsia="zh-CN"/>
              </w:rPr>
              <w:t>36.61</w:t>
            </w:r>
          </w:p>
        </w:tc>
      </w:tr>
      <w:tr w14:paraId="65FE28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276780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3F54E37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ascii="Times New Roman" w:hAnsi="Times New Roman" w:cs="Times New Roman"/>
                <w:sz w:val="24"/>
                <w:szCs w:val="24"/>
              </w:rPr>
              <w:t>主体工程防治区</w:t>
            </w:r>
          </w:p>
        </w:tc>
        <w:tc>
          <w:tcPr>
            <w:tcW w:w="1034" w:type="dxa"/>
            <w:tcBorders>
              <w:tl2br w:val="nil"/>
              <w:tr2bl w:val="nil"/>
            </w:tcBorders>
            <w:noWrap w:val="0"/>
            <w:tcMar>
              <w:top w:w="15" w:type="dxa"/>
              <w:left w:w="15" w:type="dxa"/>
              <w:right w:w="15" w:type="dxa"/>
            </w:tcMar>
            <w:vAlign w:val="center"/>
          </w:tcPr>
          <w:p w14:paraId="7AF37EFB">
            <w:pPr>
              <w:pStyle w:val="18"/>
              <w:rPr>
                <w:rFonts w:hint="default"/>
                <w:color w:val="auto"/>
                <w:lang w:val="en-US" w:eastAsia="zh-CN"/>
              </w:rPr>
            </w:pPr>
            <w:r>
              <w:rPr>
                <w:rFonts w:hint="default"/>
                <w:color w:val="auto"/>
                <w:lang w:val="en-US" w:eastAsia="zh-CN"/>
              </w:rPr>
              <w:t>26.78</w:t>
            </w:r>
          </w:p>
        </w:tc>
        <w:tc>
          <w:tcPr>
            <w:tcW w:w="1900" w:type="dxa"/>
            <w:gridSpan w:val="2"/>
            <w:tcBorders>
              <w:tl2br w:val="nil"/>
              <w:tr2bl w:val="nil"/>
            </w:tcBorders>
            <w:noWrap w:val="0"/>
            <w:tcMar>
              <w:top w:w="15" w:type="dxa"/>
              <w:left w:w="15" w:type="dxa"/>
              <w:right w:w="15" w:type="dxa"/>
            </w:tcMar>
            <w:vAlign w:val="center"/>
          </w:tcPr>
          <w:p w14:paraId="15E10BBA">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15C22296">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298DCBC0">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46D8BBAC">
            <w:pPr>
              <w:pStyle w:val="18"/>
              <w:ind w:firstLine="0" w:firstLineChars="0"/>
              <w:rPr>
                <w:rFonts w:hint="eastAsia"/>
                <w:color w:val="auto"/>
                <w:lang w:val="en-US" w:eastAsia="zh-CN"/>
              </w:rPr>
            </w:pPr>
            <w:r>
              <w:rPr>
                <w:rFonts w:hint="default"/>
                <w:color w:val="auto"/>
                <w:lang w:val="en-US" w:eastAsia="zh-CN"/>
              </w:rPr>
              <w:t>26.78</w:t>
            </w:r>
          </w:p>
        </w:tc>
      </w:tr>
      <w:tr w14:paraId="136377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195327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2</w:t>
            </w:r>
          </w:p>
        </w:tc>
        <w:tc>
          <w:tcPr>
            <w:tcW w:w="1478" w:type="pct"/>
            <w:tcBorders>
              <w:tl2br w:val="nil"/>
              <w:tr2bl w:val="nil"/>
            </w:tcBorders>
            <w:noWrap w:val="0"/>
            <w:tcMar>
              <w:top w:w="15" w:type="dxa"/>
              <w:left w:w="15" w:type="dxa"/>
              <w:right w:w="15" w:type="dxa"/>
            </w:tcMar>
            <w:vAlign w:val="center"/>
          </w:tcPr>
          <w:p w14:paraId="3861287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施工便道防治区</w:t>
            </w:r>
          </w:p>
        </w:tc>
        <w:tc>
          <w:tcPr>
            <w:tcW w:w="1034" w:type="dxa"/>
            <w:tcBorders>
              <w:tl2br w:val="nil"/>
              <w:tr2bl w:val="nil"/>
            </w:tcBorders>
            <w:noWrap w:val="0"/>
            <w:tcMar>
              <w:top w:w="15" w:type="dxa"/>
              <w:left w:w="15" w:type="dxa"/>
              <w:right w:w="15" w:type="dxa"/>
            </w:tcMar>
            <w:vAlign w:val="center"/>
          </w:tcPr>
          <w:p w14:paraId="6954553C">
            <w:pPr>
              <w:pStyle w:val="18"/>
              <w:rPr>
                <w:rFonts w:hint="default"/>
                <w:color w:val="auto"/>
                <w:lang w:val="en-US" w:eastAsia="zh-CN"/>
              </w:rPr>
            </w:pPr>
            <w:r>
              <w:rPr>
                <w:rFonts w:hint="default"/>
                <w:color w:val="auto"/>
                <w:lang w:val="en-US" w:eastAsia="zh-CN"/>
              </w:rPr>
              <w:t>5.91</w:t>
            </w:r>
          </w:p>
        </w:tc>
        <w:tc>
          <w:tcPr>
            <w:tcW w:w="1900" w:type="dxa"/>
            <w:gridSpan w:val="2"/>
            <w:tcBorders>
              <w:tl2br w:val="nil"/>
              <w:tr2bl w:val="nil"/>
            </w:tcBorders>
            <w:noWrap w:val="0"/>
            <w:tcMar>
              <w:top w:w="15" w:type="dxa"/>
              <w:left w:w="15" w:type="dxa"/>
              <w:right w:w="15" w:type="dxa"/>
            </w:tcMar>
            <w:vAlign w:val="center"/>
          </w:tcPr>
          <w:p w14:paraId="48E49D85">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2DE5888E">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634DE6CF">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4A6B7D98">
            <w:pPr>
              <w:pStyle w:val="18"/>
              <w:ind w:firstLine="0" w:firstLineChars="0"/>
              <w:rPr>
                <w:rFonts w:hint="eastAsia"/>
                <w:color w:val="auto"/>
                <w:lang w:val="en-US" w:eastAsia="zh-CN"/>
              </w:rPr>
            </w:pPr>
            <w:r>
              <w:rPr>
                <w:rFonts w:hint="default"/>
                <w:color w:val="auto"/>
                <w:lang w:val="en-US" w:eastAsia="zh-CN"/>
              </w:rPr>
              <w:t>5.91</w:t>
            </w:r>
          </w:p>
        </w:tc>
      </w:tr>
      <w:tr w14:paraId="227410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6268E88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3</w:t>
            </w:r>
          </w:p>
        </w:tc>
        <w:tc>
          <w:tcPr>
            <w:tcW w:w="1478" w:type="pct"/>
            <w:tcBorders>
              <w:tl2br w:val="nil"/>
              <w:tr2bl w:val="nil"/>
            </w:tcBorders>
            <w:noWrap w:val="0"/>
            <w:tcMar>
              <w:top w:w="15" w:type="dxa"/>
              <w:left w:w="15" w:type="dxa"/>
              <w:right w:w="15" w:type="dxa"/>
            </w:tcMar>
            <w:vAlign w:val="center"/>
          </w:tcPr>
          <w:p w14:paraId="1F98773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施工生产生活防治区</w:t>
            </w:r>
          </w:p>
        </w:tc>
        <w:tc>
          <w:tcPr>
            <w:tcW w:w="1034" w:type="dxa"/>
            <w:tcBorders>
              <w:tl2br w:val="nil"/>
              <w:tr2bl w:val="nil"/>
            </w:tcBorders>
            <w:noWrap w:val="0"/>
            <w:tcMar>
              <w:top w:w="15" w:type="dxa"/>
              <w:left w:w="15" w:type="dxa"/>
              <w:right w:w="15" w:type="dxa"/>
            </w:tcMar>
            <w:vAlign w:val="center"/>
          </w:tcPr>
          <w:p w14:paraId="364FECD4">
            <w:pPr>
              <w:pStyle w:val="18"/>
              <w:rPr>
                <w:rFonts w:hint="default"/>
                <w:color w:val="auto"/>
                <w:lang w:val="en-US" w:eastAsia="zh-CN"/>
              </w:rPr>
            </w:pPr>
            <w:r>
              <w:rPr>
                <w:rFonts w:hint="default"/>
                <w:color w:val="auto"/>
                <w:lang w:val="en-US" w:eastAsia="zh-CN"/>
              </w:rPr>
              <w:t>1.79</w:t>
            </w:r>
          </w:p>
        </w:tc>
        <w:tc>
          <w:tcPr>
            <w:tcW w:w="1900" w:type="dxa"/>
            <w:gridSpan w:val="2"/>
            <w:tcBorders>
              <w:tl2br w:val="nil"/>
              <w:tr2bl w:val="nil"/>
            </w:tcBorders>
            <w:noWrap w:val="0"/>
            <w:tcMar>
              <w:top w:w="15" w:type="dxa"/>
              <w:left w:w="15" w:type="dxa"/>
              <w:right w:w="15" w:type="dxa"/>
            </w:tcMar>
            <w:vAlign w:val="center"/>
          </w:tcPr>
          <w:p w14:paraId="25B402FC">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24D4B739">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2E7D4FF9">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032E72DF">
            <w:pPr>
              <w:pStyle w:val="18"/>
              <w:ind w:firstLine="0" w:firstLineChars="0"/>
              <w:rPr>
                <w:rFonts w:hint="eastAsia"/>
                <w:color w:val="auto"/>
                <w:lang w:val="en-US" w:eastAsia="zh-CN"/>
              </w:rPr>
            </w:pPr>
            <w:r>
              <w:rPr>
                <w:rFonts w:hint="default"/>
                <w:color w:val="auto"/>
                <w:lang w:val="en-US" w:eastAsia="zh-CN"/>
              </w:rPr>
              <w:t>1.79</w:t>
            </w:r>
          </w:p>
        </w:tc>
      </w:tr>
      <w:tr w14:paraId="0E53C8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F22D94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s="Times New Roman"/>
                <w:sz w:val="24"/>
                <w:szCs w:val="24"/>
                <w:lang w:val="en-US" w:eastAsia="zh-CN"/>
              </w:rPr>
            </w:pPr>
            <w:r>
              <w:rPr>
                <w:rFonts w:hint="eastAsia" w:cs="Times New Roman"/>
                <w:sz w:val="24"/>
                <w:szCs w:val="24"/>
                <w:lang w:val="en-US" w:eastAsia="zh-CN"/>
              </w:rPr>
              <w:t>4</w:t>
            </w:r>
          </w:p>
        </w:tc>
        <w:tc>
          <w:tcPr>
            <w:tcW w:w="1478" w:type="pct"/>
            <w:tcBorders>
              <w:tl2br w:val="nil"/>
              <w:tr2bl w:val="nil"/>
            </w:tcBorders>
            <w:noWrap w:val="0"/>
            <w:tcMar>
              <w:top w:w="15" w:type="dxa"/>
              <w:left w:w="15" w:type="dxa"/>
              <w:right w:w="15" w:type="dxa"/>
            </w:tcMar>
            <w:vAlign w:val="center"/>
          </w:tcPr>
          <w:p w14:paraId="5D6674B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s="Times New Roman"/>
                <w:sz w:val="24"/>
                <w:szCs w:val="24"/>
                <w:lang w:val="en-US" w:eastAsia="zh-CN"/>
              </w:rPr>
            </w:pPr>
            <w:r>
              <w:rPr>
                <w:rFonts w:hint="eastAsia" w:cs="Times New Roman"/>
                <w:sz w:val="24"/>
                <w:szCs w:val="24"/>
                <w:lang w:val="en-US" w:eastAsia="zh-CN"/>
              </w:rPr>
              <w:t>土方临时堆场防治区</w:t>
            </w:r>
          </w:p>
        </w:tc>
        <w:tc>
          <w:tcPr>
            <w:tcW w:w="1034" w:type="dxa"/>
            <w:tcBorders>
              <w:tl2br w:val="nil"/>
              <w:tr2bl w:val="nil"/>
            </w:tcBorders>
            <w:noWrap w:val="0"/>
            <w:tcMar>
              <w:top w:w="15" w:type="dxa"/>
              <w:left w:w="15" w:type="dxa"/>
              <w:right w:w="15" w:type="dxa"/>
            </w:tcMar>
            <w:vAlign w:val="center"/>
          </w:tcPr>
          <w:p w14:paraId="4C357FD3">
            <w:pPr>
              <w:pStyle w:val="18"/>
              <w:rPr>
                <w:rFonts w:hint="default"/>
                <w:color w:val="auto"/>
                <w:lang w:val="en-US" w:eastAsia="zh-CN"/>
              </w:rPr>
            </w:pPr>
            <w:r>
              <w:rPr>
                <w:rFonts w:hint="default"/>
                <w:color w:val="auto"/>
                <w:lang w:val="en-US" w:eastAsia="zh-CN"/>
              </w:rPr>
              <w:t>0.68</w:t>
            </w:r>
          </w:p>
        </w:tc>
        <w:tc>
          <w:tcPr>
            <w:tcW w:w="1900" w:type="dxa"/>
            <w:gridSpan w:val="2"/>
            <w:tcBorders>
              <w:tl2br w:val="nil"/>
              <w:tr2bl w:val="nil"/>
            </w:tcBorders>
            <w:noWrap w:val="0"/>
            <w:tcMar>
              <w:top w:w="15" w:type="dxa"/>
              <w:left w:w="15" w:type="dxa"/>
              <w:right w:w="15" w:type="dxa"/>
            </w:tcMar>
            <w:vAlign w:val="center"/>
          </w:tcPr>
          <w:p w14:paraId="1ADC1CFC">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7FF8637F">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34A6855F">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4AAD2374">
            <w:pPr>
              <w:pStyle w:val="18"/>
              <w:ind w:firstLine="0" w:firstLineChars="0"/>
              <w:rPr>
                <w:rFonts w:hint="default"/>
                <w:color w:val="auto"/>
                <w:lang w:val="en-US" w:eastAsia="zh-CN"/>
              </w:rPr>
            </w:pPr>
            <w:r>
              <w:rPr>
                <w:rFonts w:hint="default"/>
                <w:color w:val="auto"/>
                <w:lang w:val="en-US" w:eastAsia="zh-CN"/>
              </w:rPr>
              <w:t>0.68</w:t>
            </w:r>
          </w:p>
        </w:tc>
      </w:tr>
      <w:tr w14:paraId="7EA1F0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5F9607A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z w:val="24"/>
                <w:szCs w:val="24"/>
                <w:lang w:eastAsia="zh-CN"/>
              </w:rPr>
            </w:pPr>
            <w:r>
              <w:rPr>
                <w:rFonts w:hint="eastAsia" w:cs="Times New Roman"/>
                <w:sz w:val="24"/>
                <w:szCs w:val="24"/>
                <w:lang w:val="en-US" w:eastAsia="zh-CN"/>
              </w:rPr>
              <w:t>5</w:t>
            </w:r>
          </w:p>
        </w:tc>
        <w:tc>
          <w:tcPr>
            <w:tcW w:w="1478" w:type="pct"/>
            <w:tcBorders>
              <w:tl2br w:val="nil"/>
              <w:tr2bl w:val="nil"/>
            </w:tcBorders>
            <w:noWrap w:val="0"/>
            <w:tcMar>
              <w:top w:w="15" w:type="dxa"/>
              <w:left w:w="15" w:type="dxa"/>
              <w:right w:w="15" w:type="dxa"/>
            </w:tcMar>
            <w:vAlign w:val="center"/>
          </w:tcPr>
          <w:p w14:paraId="740723A8">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其他临时工程</w:t>
            </w:r>
          </w:p>
        </w:tc>
        <w:tc>
          <w:tcPr>
            <w:tcW w:w="1034" w:type="dxa"/>
            <w:tcBorders>
              <w:tl2br w:val="nil"/>
              <w:tr2bl w:val="nil"/>
            </w:tcBorders>
            <w:noWrap w:val="0"/>
            <w:tcMar>
              <w:top w:w="15" w:type="dxa"/>
              <w:left w:w="15" w:type="dxa"/>
              <w:right w:w="15" w:type="dxa"/>
            </w:tcMar>
            <w:vAlign w:val="center"/>
          </w:tcPr>
          <w:p w14:paraId="4085610C">
            <w:pPr>
              <w:pStyle w:val="18"/>
              <w:rPr>
                <w:rFonts w:hint="default"/>
                <w:color w:val="auto"/>
                <w:lang w:val="en-US" w:eastAsia="zh-CN"/>
              </w:rPr>
            </w:pPr>
            <w:r>
              <w:rPr>
                <w:rFonts w:hint="default"/>
                <w:color w:val="auto"/>
                <w:lang w:val="en-US" w:eastAsia="zh-CN"/>
              </w:rPr>
              <w:t>1.45</w:t>
            </w:r>
          </w:p>
        </w:tc>
        <w:tc>
          <w:tcPr>
            <w:tcW w:w="1900" w:type="dxa"/>
            <w:gridSpan w:val="2"/>
            <w:tcBorders>
              <w:tl2br w:val="nil"/>
              <w:tr2bl w:val="nil"/>
            </w:tcBorders>
            <w:noWrap w:val="0"/>
            <w:tcMar>
              <w:top w:w="15" w:type="dxa"/>
              <w:left w:w="15" w:type="dxa"/>
              <w:right w:w="15" w:type="dxa"/>
            </w:tcMar>
            <w:vAlign w:val="center"/>
          </w:tcPr>
          <w:p w14:paraId="057BDF94">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06947224">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75CF458C">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798729C8">
            <w:pPr>
              <w:pStyle w:val="18"/>
              <w:ind w:firstLine="0" w:firstLineChars="0"/>
              <w:rPr>
                <w:rFonts w:hint="eastAsia"/>
                <w:color w:val="auto"/>
                <w:lang w:val="en-US" w:eastAsia="zh-CN"/>
              </w:rPr>
            </w:pPr>
            <w:r>
              <w:rPr>
                <w:rFonts w:hint="default"/>
                <w:color w:val="auto"/>
                <w:lang w:val="en-US" w:eastAsia="zh-CN"/>
              </w:rPr>
              <w:t>1.45</w:t>
            </w:r>
          </w:p>
        </w:tc>
      </w:tr>
      <w:tr w14:paraId="44DC566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0188F05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四</w:t>
            </w:r>
          </w:p>
        </w:tc>
        <w:tc>
          <w:tcPr>
            <w:tcW w:w="1478" w:type="pct"/>
            <w:tcBorders>
              <w:tl2br w:val="nil"/>
              <w:tr2bl w:val="nil"/>
            </w:tcBorders>
            <w:noWrap w:val="0"/>
            <w:tcMar>
              <w:top w:w="15" w:type="dxa"/>
              <w:left w:w="15" w:type="dxa"/>
              <w:right w:w="15" w:type="dxa"/>
            </w:tcMar>
            <w:vAlign w:val="center"/>
          </w:tcPr>
          <w:p w14:paraId="7CBCC1E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第四部分 独立费用</w:t>
            </w:r>
          </w:p>
        </w:tc>
        <w:tc>
          <w:tcPr>
            <w:tcW w:w="1034" w:type="dxa"/>
            <w:tcBorders>
              <w:tl2br w:val="nil"/>
              <w:tr2bl w:val="nil"/>
            </w:tcBorders>
            <w:noWrap w:val="0"/>
            <w:tcMar>
              <w:top w:w="15" w:type="dxa"/>
              <w:left w:w="15" w:type="dxa"/>
              <w:right w:w="15" w:type="dxa"/>
            </w:tcMar>
            <w:vAlign w:val="center"/>
          </w:tcPr>
          <w:p w14:paraId="5FD343E4">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692C2113">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769351DB">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34DE3F6A">
            <w:pPr>
              <w:pStyle w:val="18"/>
              <w:rPr>
                <w:rFonts w:hint="default"/>
                <w:color w:val="auto"/>
                <w:lang w:val="en-US" w:eastAsia="zh-CN"/>
              </w:rPr>
            </w:pPr>
            <w:r>
              <w:rPr>
                <w:rFonts w:hint="default"/>
                <w:color w:val="auto"/>
                <w:lang w:val="en-US" w:eastAsia="zh-CN"/>
              </w:rPr>
              <w:t>18.51</w:t>
            </w:r>
          </w:p>
        </w:tc>
        <w:tc>
          <w:tcPr>
            <w:tcW w:w="1093" w:type="dxa"/>
            <w:tcBorders>
              <w:tl2br w:val="nil"/>
              <w:tr2bl w:val="nil"/>
            </w:tcBorders>
            <w:noWrap w:val="0"/>
            <w:tcMar>
              <w:top w:w="15" w:type="dxa"/>
              <w:left w:w="15" w:type="dxa"/>
              <w:right w:w="15" w:type="dxa"/>
            </w:tcMar>
            <w:vAlign w:val="center"/>
          </w:tcPr>
          <w:p w14:paraId="0574D0CE">
            <w:pPr>
              <w:pStyle w:val="18"/>
              <w:ind w:firstLine="0" w:firstLineChars="0"/>
              <w:rPr>
                <w:rFonts w:hint="eastAsia"/>
                <w:color w:val="auto"/>
                <w:lang w:val="en-US" w:eastAsia="zh-CN"/>
              </w:rPr>
            </w:pPr>
            <w:r>
              <w:rPr>
                <w:rFonts w:hint="default"/>
                <w:color w:val="auto"/>
                <w:lang w:val="en-US" w:eastAsia="zh-CN"/>
              </w:rPr>
              <w:t>18.51</w:t>
            </w:r>
          </w:p>
        </w:tc>
      </w:tr>
      <w:tr w14:paraId="72005F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5FAB0A7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063F3FD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建设管理费</w:t>
            </w:r>
          </w:p>
        </w:tc>
        <w:tc>
          <w:tcPr>
            <w:tcW w:w="1034" w:type="dxa"/>
            <w:tcBorders>
              <w:tl2br w:val="nil"/>
              <w:tr2bl w:val="nil"/>
            </w:tcBorders>
            <w:noWrap w:val="0"/>
            <w:tcMar>
              <w:top w:w="15" w:type="dxa"/>
              <w:left w:w="15" w:type="dxa"/>
              <w:right w:w="15" w:type="dxa"/>
            </w:tcMar>
            <w:vAlign w:val="center"/>
          </w:tcPr>
          <w:p w14:paraId="706E714A">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3628B2B7">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62E37DE4">
            <w:pPr>
              <w:pStyle w:val="18"/>
              <w:rPr>
                <w:rFonts w:hint="eastAsia"/>
                <w:color w:val="auto"/>
                <w:lang w:val="en-US" w:eastAsia="zh-CN"/>
              </w:rPr>
            </w:pPr>
          </w:p>
        </w:tc>
        <w:tc>
          <w:tcPr>
            <w:tcW w:w="944" w:type="dxa"/>
            <w:tcBorders>
              <w:tl2br w:val="nil"/>
              <w:tr2bl w:val="nil"/>
            </w:tcBorders>
            <w:noWrap/>
            <w:tcMar>
              <w:top w:w="15" w:type="dxa"/>
              <w:left w:w="15" w:type="dxa"/>
              <w:right w:w="15" w:type="dxa"/>
            </w:tcMar>
            <w:vAlign w:val="center"/>
          </w:tcPr>
          <w:p w14:paraId="17DD509C">
            <w:pPr>
              <w:pStyle w:val="18"/>
              <w:rPr>
                <w:rFonts w:hint="default"/>
                <w:color w:val="auto"/>
                <w:lang w:val="en-US" w:eastAsia="zh-CN"/>
              </w:rPr>
            </w:pPr>
            <w:r>
              <w:rPr>
                <w:rFonts w:hint="default"/>
                <w:color w:val="auto"/>
                <w:lang w:val="en-US" w:eastAsia="zh-CN"/>
              </w:rPr>
              <w:t>0.41</w:t>
            </w:r>
          </w:p>
        </w:tc>
        <w:tc>
          <w:tcPr>
            <w:tcW w:w="1093" w:type="dxa"/>
            <w:tcBorders>
              <w:tl2br w:val="nil"/>
              <w:tr2bl w:val="nil"/>
            </w:tcBorders>
            <w:noWrap w:val="0"/>
            <w:tcMar>
              <w:top w:w="15" w:type="dxa"/>
              <w:left w:w="15" w:type="dxa"/>
              <w:right w:w="15" w:type="dxa"/>
            </w:tcMar>
            <w:vAlign w:val="center"/>
          </w:tcPr>
          <w:p w14:paraId="04690B44">
            <w:pPr>
              <w:pStyle w:val="18"/>
              <w:ind w:firstLine="0" w:firstLineChars="0"/>
              <w:rPr>
                <w:rFonts w:hint="eastAsia"/>
                <w:color w:val="auto"/>
                <w:lang w:val="en-US" w:eastAsia="zh-CN"/>
              </w:rPr>
            </w:pPr>
            <w:r>
              <w:rPr>
                <w:rFonts w:hint="default"/>
                <w:color w:val="auto"/>
                <w:lang w:val="en-US" w:eastAsia="zh-CN"/>
              </w:rPr>
              <w:t>0.41</w:t>
            </w:r>
          </w:p>
        </w:tc>
      </w:tr>
      <w:tr w14:paraId="528C2A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4C54E78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2</w:t>
            </w:r>
          </w:p>
        </w:tc>
        <w:tc>
          <w:tcPr>
            <w:tcW w:w="1478" w:type="pct"/>
            <w:tcBorders>
              <w:tl2br w:val="nil"/>
              <w:tr2bl w:val="nil"/>
            </w:tcBorders>
            <w:noWrap w:val="0"/>
            <w:tcMar>
              <w:top w:w="15" w:type="dxa"/>
              <w:left w:w="15" w:type="dxa"/>
              <w:right w:w="15" w:type="dxa"/>
            </w:tcMar>
            <w:vAlign w:val="center"/>
          </w:tcPr>
          <w:p w14:paraId="31A50B1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工程建设监理费</w:t>
            </w:r>
          </w:p>
        </w:tc>
        <w:tc>
          <w:tcPr>
            <w:tcW w:w="1034" w:type="dxa"/>
            <w:tcBorders>
              <w:tl2br w:val="nil"/>
              <w:tr2bl w:val="nil"/>
            </w:tcBorders>
            <w:noWrap w:val="0"/>
            <w:tcMar>
              <w:top w:w="15" w:type="dxa"/>
              <w:left w:w="15" w:type="dxa"/>
              <w:right w:w="15" w:type="dxa"/>
            </w:tcMar>
            <w:vAlign w:val="center"/>
          </w:tcPr>
          <w:p w14:paraId="6C4823F4">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61FA82D7">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045921E5">
            <w:pPr>
              <w:pStyle w:val="18"/>
              <w:rPr>
                <w:rFonts w:hint="eastAsia"/>
                <w:color w:val="auto"/>
                <w:lang w:val="en-US" w:eastAsia="zh-CN"/>
              </w:rPr>
            </w:pPr>
          </w:p>
        </w:tc>
        <w:tc>
          <w:tcPr>
            <w:tcW w:w="944" w:type="dxa"/>
            <w:tcBorders>
              <w:tl2br w:val="nil"/>
              <w:tr2bl w:val="nil"/>
            </w:tcBorders>
            <w:noWrap/>
            <w:tcMar>
              <w:top w:w="15" w:type="dxa"/>
              <w:left w:w="15" w:type="dxa"/>
              <w:right w:w="15" w:type="dxa"/>
            </w:tcMar>
            <w:vAlign w:val="center"/>
          </w:tcPr>
          <w:p w14:paraId="573EFFAC">
            <w:pPr>
              <w:pStyle w:val="18"/>
              <w:rPr>
                <w:rFonts w:hint="default"/>
                <w:color w:val="auto"/>
                <w:lang w:val="en-US" w:eastAsia="zh-CN"/>
              </w:rPr>
            </w:pPr>
            <w:r>
              <w:rPr>
                <w:rFonts w:hint="default"/>
                <w:color w:val="auto"/>
                <w:lang w:val="en-US" w:eastAsia="zh-CN"/>
              </w:rPr>
              <w:t>0</w:t>
            </w:r>
          </w:p>
        </w:tc>
        <w:tc>
          <w:tcPr>
            <w:tcW w:w="1093" w:type="dxa"/>
            <w:tcBorders>
              <w:tl2br w:val="nil"/>
              <w:tr2bl w:val="nil"/>
            </w:tcBorders>
            <w:noWrap w:val="0"/>
            <w:tcMar>
              <w:top w:w="15" w:type="dxa"/>
              <w:left w:w="15" w:type="dxa"/>
              <w:right w:w="15" w:type="dxa"/>
            </w:tcMar>
            <w:vAlign w:val="center"/>
          </w:tcPr>
          <w:p w14:paraId="207BA106">
            <w:pPr>
              <w:pStyle w:val="18"/>
              <w:ind w:firstLine="0" w:firstLineChars="0"/>
              <w:rPr>
                <w:rFonts w:hint="eastAsia"/>
                <w:color w:val="auto"/>
                <w:lang w:val="en-US" w:eastAsia="zh-CN"/>
              </w:rPr>
            </w:pPr>
            <w:r>
              <w:rPr>
                <w:rFonts w:hint="default"/>
                <w:color w:val="auto"/>
                <w:lang w:val="en-US" w:eastAsia="zh-CN"/>
              </w:rPr>
              <w:t>0</w:t>
            </w:r>
          </w:p>
        </w:tc>
      </w:tr>
      <w:tr w14:paraId="0C628A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63C9C54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3</w:t>
            </w:r>
          </w:p>
        </w:tc>
        <w:tc>
          <w:tcPr>
            <w:tcW w:w="1478" w:type="pct"/>
            <w:tcBorders>
              <w:tl2br w:val="nil"/>
              <w:tr2bl w:val="nil"/>
            </w:tcBorders>
            <w:noWrap w:val="0"/>
            <w:tcMar>
              <w:top w:w="15" w:type="dxa"/>
              <w:left w:w="15" w:type="dxa"/>
              <w:right w:w="15" w:type="dxa"/>
            </w:tcMar>
            <w:vAlign w:val="center"/>
          </w:tcPr>
          <w:p w14:paraId="7F2A3CB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科研勘测设计费</w:t>
            </w:r>
          </w:p>
        </w:tc>
        <w:tc>
          <w:tcPr>
            <w:tcW w:w="1034" w:type="dxa"/>
            <w:tcBorders>
              <w:tl2br w:val="nil"/>
              <w:tr2bl w:val="nil"/>
            </w:tcBorders>
            <w:noWrap w:val="0"/>
            <w:tcMar>
              <w:top w:w="15" w:type="dxa"/>
              <w:left w:w="15" w:type="dxa"/>
              <w:right w:w="15" w:type="dxa"/>
            </w:tcMar>
            <w:vAlign w:val="center"/>
          </w:tcPr>
          <w:p w14:paraId="208DE41D">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5C63A5A4">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3A7C802E">
            <w:pPr>
              <w:pStyle w:val="18"/>
              <w:rPr>
                <w:rFonts w:hint="eastAsia"/>
                <w:color w:val="auto"/>
                <w:lang w:val="en-US" w:eastAsia="zh-CN"/>
              </w:rPr>
            </w:pPr>
          </w:p>
        </w:tc>
        <w:tc>
          <w:tcPr>
            <w:tcW w:w="944" w:type="dxa"/>
            <w:tcBorders>
              <w:tl2br w:val="nil"/>
              <w:tr2bl w:val="nil"/>
            </w:tcBorders>
            <w:noWrap/>
            <w:tcMar>
              <w:top w:w="15" w:type="dxa"/>
              <w:left w:w="15" w:type="dxa"/>
              <w:right w:w="15" w:type="dxa"/>
            </w:tcMar>
            <w:vAlign w:val="center"/>
          </w:tcPr>
          <w:p w14:paraId="2B3DFA05">
            <w:pPr>
              <w:pStyle w:val="18"/>
              <w:rPr>
                <w:rFonts w:hint="default"/>
                <w:color w:val="auto"/>
                <w:lang w:val="en-US" w:eastAsia="zh-CN"/>
              </w:rPr>
            </w:pPr>
            <w:r>
              <w:rPr>
                <w:rFonts w:hint="default"/>
                <w:color w:val="auto"/>
                <w:lang w:val="en-US" w:eastAsia="zh-CN"/>
              </w:rPr>
              <w:t>4.58</w:t>
            </w:r>
          </w:p>
        </w:tc>
        <w:tc>
          <w:tcPr>
            <w:tcW w:w="1093" w:type="dxa"/>
            <w:tcBorders>
              <w:tl2br w:val="nil"/>
              <w:tr2bl w:val="nil"/>
            </w:tcBorders>
            <w:noWrap w:val="0"/>
            <w:tcMar>
              <w:top w:w="15" w:type="dxa"/>
              <w:left w:w="15" w:type="dxa"/>
              <w:right w:w="15" w:type="dxa"/>
            </w:tcMar>
            <w:vAlign w:val="center"/>
          </w:tcPr>
          <w:p w14:paraId="5A1A82CA">
            <w:pPr>
              <w:pStyle w:val="18"/>
              <w:ind w:firstLine="0" w:firstLineChars="0"/>
              <w:rPr>
                <w:rFonts w:hint="eastAsia"/>
                <w:color w:val="auto"/>
                <w:lang w:val="en-US" w:eastAsia="zh-CN"/>
              </w:rPr>
            </w:pPr>
            <w:r>
              <w:rPr>
                <w:rFonts w:hint="default"/>
                <w:color w:val="auto"/>
                <w:lang w:val="en-US" w:eastAsia="zh-CN"/>
              </w:rPr>
              <w:t>4.58</w:t>
            </w:r>
          </w:p>
        </w:tc>
      </w:tr>
      <w:tr w14:paraId="62064E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D84D0E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4</w:t>
            </w:r>
          </w:p>
        </w:tc>
        <w:tc>
          <w:tcPr>
            <w:tcW w:w="1478" w:type="pct"/>
            <w:tcBorders>
              <w:tl2br w:val="nil"/>
              <w:tr2bl w:val="nil"/>
            </w:tcBorders>
            <w:noWrap w:val="0"/>
            <w:tcMar>
              <w:top w:w="15" w:type="dxa"/>
              <w:left w:w="15" w:type="dxa"/>
              <w:right w:w="15" w:type="dxa"/>
            </w:tcMar>
            <w:vAlign w:val="center"/>
          </w:tcPr>
          <w:p w14:paraId="5CB4936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水土</w:t>
            </w:r>
            <w:r>
              <w:rPr>
                <w:rFonts w:hint="eastAsia" w:cs="Times New Roman"/>
                <w:sz w:val="24"/>
                <w:szCs w:val="24"/>
                <w:lang w:val="en-US" w:eastAsia="zh-CN"/>
              </w:rPr>
              <w:t>保持</w:t>
            </w:r>
            <w:r>
              <w:rPr>
                <w:rFonts w:hint="eastAsia" w:ascii="Times New Roman" w:hAnsi="Times New Roman" w:cs="Times New Roman"/>
                <w:sz w:val="24"/>
                <w:szCs w:val="24"/>
              </w:rPr>
              <w:t>监测费</w:t>
            </w:r>
          </w:p>
        </w:tc>
        <w:tc>
          <w:tcPr>
            <w:tcW w:w="1034" w:type="dxa"/>
            <w:tcBorders>
              <w:tl2br w:val="nil"/>
              <w:tr2bl w:val="nil"/>
            </w:tcBorders>
            <w:noWrap w:val="0"/>
            <w:tcMar>
              <w:top w:w="15" w:type="dxa"/>
              <w:left w:w="15" w:type="dxa"/>
              <w:right w:w="15" w:type="dxa"/>
            </w:tcMar>
            <w:vAlign w:val="center"/>
          </w:tcPr>
          <w:p w14:paraId="583A86E2">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7EC9BD1D">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0DC67A58">
            <w:pPr>
              <w:pStyle w:val="18"/>
              <w:rPr>
                <w:rFonts w:hint="eastAsia"/>
                <w:color w:val="auto"/>
                <w:lang w:val="en-US" w:eastAsia="zh-CN"/>
              </w:rPr>
            </w:pPr>
          </w:p>
        </w:tc>
        <w:tc>
          <w:tcPr>
            <w:tcW w:w="944" w:type="dxa"/>
            <w:tcBorders>
              <w:tl2br w:val="nil"/>
              <w:tr2bl w:val="nil"/>
            </w:tcBorders>
            <w:noWrap/>
            <w:tcMar>
              <w:top w:w="15" w:type="dxa"/>
              <w:left w:w="15" w:type="dxa"/>
              <w:right w:w="15" w:type="dxa"/>
            </w:tcMar>
            <w:vAlign w:val="center"/>
          </w:tcPr>
          <w:p w14:paraId="484496B9">
            <w:pPr>
              <w:pStyle w:val="18"/>
              <w:rPr>
                <w:rFonts w:hint="default"/>
                <w:color w:val="auto"/>
                <w:lang w:val="en-US" w:eastAsia="zh-CN"/>
              </w:rPr>
            </w:pPr>
            <w:r>
              <w:rPr>
                <w:rFonts w:hint="default"/>
                <w:color w:val="auto"/>
                <w:lang w:val="en-US" w:eastAsia="zh-CN"/>
              </w:rPr>
              <w:t>9.52</w:t>
            </w:r>
          </w:p>
        </w:tc>
        <w:tc>
          <w:tcPr>
            <w:tcW w:w="1093" w:type="dxa"/>
            <w:tcBorders>
              <w:tl2br w:val="nil"/>
              <w:tr2bl w:val="nil"/>
            </w:tcBorders>
            <w:noWrap w:val="0"/>
            <w:tcMar>
              <w:top w:w="15" w:type="dxa"/>
              <w:left w:w="15" w:type="dxa"/>
              <w:right w:w="15" w:type="dxa"/>
            </w:tcMar>
            <w:vAlign w:val="center"/>
          </w:tcPr>
          <w:p w14:paraId="3744AEAE">
            <w:pPr>
              <w:pStyle w:val="18"/>
              <w:ind w:firstLine="0" w:firstLineChars="0"/>
              <w:rPr>
                <w:rFonts w:hint="eastAsia"/>
                <w:color w:val="auto"/>
                <w:lang w:val="en-US" w:eastAsia="zh-CN"/>
              </w:rPr>
            </w:pPr>
            <w:r>
              <w:rPr>
                <w:rFonts w:hint="default"/>
                <w:color w:val="auto"/>
                <w:lang w:val="en-US" w:eastAsia="zh-CN"/>
              </w:rPr>
              <w:t>9.52</w:t>
            </w:r>
          </w:p>
        </w:tc>
      </w:tr>
      <w:tr w14:paraId="32F858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7A15336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5</w:t>
            </w:r>
          </w:p>
        </w:tc>
        <w:tc>
          <w:tcPr>
            <w:tcW w:w="1478" w:type="pct"/>
            <w:tcBorders>
              <w:tl2br w:val="nil"/>
              <w:tr2bl w:val="nil"/>
            </w:tcBorders>
            <w:noWrap w:val="0"/>
            <w:tcMar>
              <w:top w:w="15" w:type="dxa"/>
              <w:left w:w="15" w:type="dxa"/>
              <w:right w:w="15" w:type="dxa"/>
            </w:tcMar>
            <w:vAlign w:val="center"/>
          </w:tcPr>
          <w:p w14:paraId="295E319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水土保持设施验收费</w:t>
            </w:r>
          </w:p>
        </w:tc>
        <w:tc>
          <w:tcPr>
            <w:tcW w:w="1034" w:type="dxa"/>
            <w:tcBorders>
              <w:tl2br w:val="nil"/>
              <w:tr2bl w:val="nil"/>
            </w:tcBorders>
            <w:noWrap w:val="0"/>
            <w:tcMar>
              <w:top w:w="15" w:type="dxa"/>
              <w:left w:w="15" w:type="dxa"/>
              <w:right w:w="15" w:type="dxa"/>
            </w:tcMar>
            <w:vAlign w:val="center"/>
          </w:tcPr>
          <w:p w14:paraId="1F866BFE">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57006376">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539ED4CD">
            <w:pPr>
              <w:pStyle w:val="18"/>
              <w:rPr>
                <w:rFonts w:hint="eastAsia"/>
                <w:color w:val="auto"/>
                <w:lang w:val="en-US" w:eastAsia="zh-CN"/>
              </w:rPr>
            </w:pPr>
          </w:p>
        </w:tc>
        <w:tc>
          <w:tcPr>
            <w:tcW w:w="944" w:type="dxa"/>
            <w:tcBorders>
              <w:tl2br w:val="nil"/>
              <w:tr2bl w:val="nil"/>
            </w:tcBorders>
            <w:noWrap/>
            <w:tcMar>
              <w:top w:w="15" w:type="dxa"/>
              <w:left w:w="15" w:type="dxa"/>
              <w:right w:w="15" w:type="dxa"/>
            </w:tcMar>
            <w:vAlign w:val="center"/>
          </w:tcPr>
          <w:p w14:paraId="5571AB7F">
            <w:pPr>
              <w:pStyle w:val="18"/>
              <w:rPr>
                <w:rFonts w:hint="default"/>
                <w:color w:val="auto"/>
                <w:lang w:val="en-US" w:eastAsia="zh-CN"/>
              </w:rPr>
            </w:pPr>
            <w:r>
              <w:rPr>
                <w:rFonts w:hint="default"/>
                <w:color w:val="auto"/>
                <w:lang w:val="en-US" w:eastAsia="zh-CN"/>
              </w:rPr>
              <w:t>4</w:t>
            </w:r>
          </w:p>
        </w:tc>
        <w:tc>
          <w:tcPr>
            <w:tcW w:w="1093" w:type="dxa"/>
            <w:tcBorders>
              <w:tl2br w:val="nil"/>
              <w:tr2bl w:val="nil"/>
            </w:tcBorders>
            <w:noWrap w:val="0"/>
            <w:tcMar>
              <w:top w:w="15" w:type="dxa"/>
              <w:left w:w="15" w:type="dxa"/>
              <w:right w:w="15" w:type="dxa"/>
            </w:tcMar>
            <w:vAlign w:val="center"/>
          </w:tcPr>
          <w:p w14:paraId="33AD4D50">
            <w:pPr>
              <w:pStyle w:val="18"/>
              <w:ind w:firstLine="0" w:firstLineChars="0"/>
              <w:rPr>
                <w:rFonts w:hint="default"/>
                <w:color w:val="auto"/>
                <w:lang w:val="en-US" w:eastAsia="zh-CN"/>
              </w:rPr>
            </w:pPr>
            <w:r>
              <w:rPr>
                <w:rFonts w:hint="default"/>
                <w:color w:val="auto"/>
                <w:lang w:val="en-US" w:eastAsia="zh-CN"/>
              </w:rPr>
              <w:t>4</w:t>
            </w:r>
          </w:p>
        </w:tc>
      </w:tr>
      <w:tr w14:paraId="43D7FA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42A415F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五</w:t>
            </w:r>
          </w:p>
        </w:tc>
        <w:tc>
          <w:tcPr>
            <w:tcW w:w="1478" w:type="pct"/>
            <w:tcBorders>
              <w:tl2br w:val="nil"/>
              <w:tr2bl w:val="nil"/>
            </w:tcBorders>
            <w:noWrap w:val="0"/>
            <w:tcMar>
              <w:top w:w="15" w:type="dxa"/>
              <w:left w:w="15" w:type="dxa"/>
              <w:right w:w="15" w:type="dxa"/>
            </w:tcMar>
            <w:vAlign w:val="center"/>
          </w:tcPr>
          <w:p w14:paraId="1C75C09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一至四部分合计</w:t>
            </w:r>
          </w:p>
        </w:tc>
        <w:tc>
          <w:tcPr>
            <w:tcW w:w="1034" w:type="dxa"/>
            <w:tcBorders>
              <w:tl2br w:val="nil"/>
              <w:tr2bl w:val="nil"/>
            </w:tcBorders>
            <w:noWrap/>
            <w:tcMar>
              <w:top w:w="15" w:type="dxa"/>
              <w:left w:w="15" w:type="dxa"/>
              <w:right w:w="15" w:type="dxa"/>
            </w:tcMar>
            <w:vAlign w:val="center"/>
          </w:tcPr>
          <w:p w14:paraId="30306079">
            <w:pPr>
              <w:pStyle w:val="18"/>
              <w:rPr>
                <w:rFonts w:hint="eastAsia"/>
                <w:color w:val="auto"/>
                <w:lang w:val="en-US" w:eastAsia="zh-CN"/>
              </w:rPr>
            </w:pPr>
          </w:p>
        </w:tc>
        <w:tc>
          <w:tcPr>
            <w:tcW w:w="1900" w:type="dxa"/>
            <w:gridSpan w:val="2"/>
            <w:tcBorders>
              <w:tl2br w:val="nil"/>
              <w:tr2bl w:val="nil"/>
            </w:tcBorders>
            <w:noWrap/>
            <w:tcMar>
              <w:top w:w="15" w:type="dxa"/>
              <w:left w:w="15" w:type="dxa"/>
              <w:right w:w="15" w:type="dxa"/>
            </w:tcMar>
            <w:vAlign w:val="center"/>
          </w:tcPr>
          <w:p w14:paraId="3BEEE169">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2A4A2D71">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6899A51B">
            <w:pPr>
              <w:pStyle w:val="18"/>
              <w:rPr>
                <w:rFonts w:hint="eastAsia"/>
                <w:color w:val="auto"/>
                <w:lang w:val="en-US" w:eastAsia="zh-CN"/>
              </w:rPr>
            </w:pPr>
            <w:r>
              <w:rPr>
                <w:rFonts w:hint="default"/>
                <w:color w:val="auto"/>
                <w:lang w:val="en-US" w:eastAsia="zh-CN"/>
              </w:rPr>
              <w:t>152.99</w:t>
            </w:r>
          </w:p>
        </w:tc>
        <w:tc>
          <w:tcPr>
            <w:tcW w:w="1093" w:type="dxa"/>
            <w:tcBorders>
              <w:tl2br w:val="nil"/>
              <w:tr2bl w:val="nil"/>
            </w:tcBorders>
            <w:noWrap w:val="0"/>
            <w:tcMar>
              <w:top w:w="15" w:type="dxa"/>
              <w:left w:w="15" w:type="dxa"/>
              <w:right w:w="15" w:type="dxa"/>
            </w:tcMar>
            <w:vAlign w:val="center"/>
          </w:tcPr>
          <w:p w14:paraId="7FD7C938">
            <w:pPr>
              <w:pStyle w:val="18"/>
              <w:ind w:firstLine="0" w:firstLineChars="0"/>
              <w:rPr>
                <w:rFonts w:hint="eastAsia"/>
                <w:color w:val="auto"/>
                <w:lang w:val="en-US" w:eastAsia="zh-CN"/>
              </w:rPr>
            </w:pPr>
            <w:r>
              <w:rPr>
                <w:rFonts w:hint="default"/>
                <w:color w:val="auto"/>
                <w:lang w:val="en-US" w:eastAsia="zh-CN"/>
              </w:rPr>
              <w:t>152.99</w:t>
            </w:r>
          </w:p>
        </w:tc>
      </w:tr>
      <w:tr w14:paraId="467A06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128B97A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六</w:t>
            </w:r>
          </w:p>
        </w:tc>
        <w:tc>
          <w:tcPr>
            <w:tcW w:w="1478" w:type="pct"/>
            <w:tcBorders>
              <w:tl2br w:val="nil"/>
              <w:tr2bl w:val="nil"/>
            </w:tcBorders>
            <w:noWrap w:val="0"/>
            <w:tcMar>
              <w:top w:w="15" w:type="dxa"/>
              <w:left w:w="15" w:type="dxa"/>
              <w:right w:w="15" w:type="dxa"/>
            </w:tcMar>
            <w:vAlign w:val="center"/>
          </w:tcPr>
          <w:p w14:paraId="6872090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预备费</w:t>
            </w:r>
          </w:p>
        </w:tc>
        <w:tc>
          <w:tcPr>
            <w:tcW w:w="1034" w:type="dxa"/>
            <w:tcBorders>
              <w:tl2br w:val="nil"/>
              <w:tr2bl w:val="nil"/>
            </w:tcBorders>
            <w:noWrap w:val="0"/>
            <w:tcMar>
              <w:top w:w="15" w:type="dxa"/>
              <w:left w:w="15" w:type="dxa"/>
              <w:right w:w="15" w:type="dxa"/>
            </w:tcMar>
            <w:vAlign w:val="center"/>
          </w:tcPr>
          <w:p w14:paraId="18BACFCC">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14A38361">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4E0DE24B">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1B2CF901">
            <w:pPr>
              <w:pStyle w:val="18"/>
              <w:rPr>
                <w:rFonts w:hint="default"/>
                <w:color w:val="auto"/>
                <w:lang w:val="en-US" w:eastAsia="zh-CN"/>
              </w:rPr>
            </w:pPr>
            <w:r>
              <w:rPr>
                <w:rFonts w:hint="default"/>
                <w:color w:val="auto"/>
                <w:lang w:val="en-US" w:eastAsia="zh-CN"/>
              </w:rPr>
              <w:t>2.78</w:t>
            </w:r>
          </w:p>
        </w:tc>
        <w:tc>
          <w:tcPr>
            <w:tcW w:w="1093" w:type="dxa"/>
            <w:tcBorders>
              <w:tl2br w:val="nil"/>
              <w:tr2bl w:val="nil"/>
            </w:tcBorders>
            <w:noWrap w:val="0"/>
            <w:tcMar>
              <w:top w:w="15" w:type="dxa"/>
              <w:left w:w="15" w:type="dxa"/>
              <w:right w:w="15" w:type="dxa"/>
            </w:tcMar>
            <w:vAlign w:val="center"/>
          </w:tcPr>
          <w:p w14:paraId="77F97F50">
            <w:pPr>
              <w:pStyle w:val="18"/>
              <w:ind w:firstLine="0" w:firstLineChars="0"/>
              <w:rPr>
                <w:rFonts w:hint="eastAsia"/>
                <w:color w:val="auto"/>
                <w:lang w:val="en-US" w:eastAsia="zh-CN"/>
              </w:rPr>
            </w:pPr>
            <w:r>
              <w:rPr>
                <w:rFonts w:hint="default"/>
                <w:color w:val="auto"/>
                <w:lang w:val="en-US" w:eastAsia="zh-CN"/>
              </w:rPr>
              <w:t>2.78</w:t>
            </w:r>
          </w:p>
        </w:tc>
      </w:tr>
      <w:tr w14:paraId="405FFD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D4098D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1</w:t>
            </w:r>
          </w:p>
        </w:tc>
        <w:tc>
          <w:tcPr>
            <w:tcW w:w="1478" w:type="pct"/>
            <w:tcBorders>
              <w:tl2br w:val="nil"/>
              <w:tr2bl w:val="nil"/>
            </w:tcBorders>
            <w:noWrap w:val="0"/>
            <w:tcMar>
              <w:top w:w="15" w:type="dxa"/>
              <w:left w:w="15" w:type="dxa"/>
              <w:right w:w="15" w:type="dxa"/>
            </w:tcMar>
            <w:vAlign w:val="center"/>
          </w:tcPr>
          <w:p w14:paraId="4ACB5F2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基本预备费</w:t>
            </w:r>
          </w:p>
        </w:tc>
        <w:tc>
          <w:tcPr>
            <w:tcW w:w="1034" w:type="dxa"/>
            <w:tcBorders>
              <w:tl2br w:val="nil"/>
              <w:tr2bl w:val="nil"/>
            </w:tcBorders>
            <w:noWrap w:val="0"/>
            <w:tcMar>
              <w:top w:w="15" w:type="dxa"/>
              <w:left w:w="15" w:type="dxa"/>
              <w:right w:w="15" w:type="dxa"/>
            </w:tcMar>
            <w:vAlign w:val="center"/>
          </w:tcPr>
          <w:p w14:paraId="2131CB2A">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07DFAC19">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23D3957D">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1C53B05A">
            <w:pPr>
              <w:pStyle w:val="18"/>
              <w:rPr>
                <w:rFonts w:hint="default"/>
                <w:color w:val="auto"/>
                <w:lang w:val="en-US" w:eastAsia="zh-CN"/>
              </w:rPr>
            </w:pPr>
            <w:r>
              <w:rPr>
                <w:rFonts w:hint="default"/>
                <w:color w:val="auto"/>
                <w:lang w:val="en-US" w:eastAsia="zh-CN"/>
              </w:rPr>
              <w:t>2.78</w:t>
            </w:r>
          </w:p>
        </w:tc>
        <w:tc>
          <w:tcPr>
            <w:tcW w:w="1093" w:type="dxa"/>
            <w:tcBorders>
              <w:tl2br w:val="nil"/>
              <w:tr2bl w:val="nil"/>
            </w:tcBorders>
            <w:noWrap w:val="0"/>
            <w:tcMar>
              <w:top w:w="15" w:type="dxa"/>
              <w:left w:w="15" w:type="dxa"/>
              <w:right w:w="15" w:type="dxa"/>
            </w:tcMar>
            <w:vAlign w:val="center"/>
          </w:tcPr>
          <w:p w14:paraId="1D8BE7F0">
            <w:pPr>
              <w:pStyle w:val="18"/>
              <w:ind w:firstLine="0" w:firstLineChars="0"/>
              <w:rPr>
                <w:rFonts w:hint="eastAsia"/>
                <w:color w:val="auto"/>
                <w:lang w:val="en-US" w:eastAsia="zh-CN"/>
              </w:rPr>
            </w:pPr>
            <w:r>
              <w:rPr>
                <w:rFonts w:hint="default"/>
                <w:color w:val="auto"/>
                <w:lang w:val="en-US" w:eastAsia="zh-CN"/>
              </w:rPr>
              <w:t>2.78</w:t>
            </w:r>
          </w:p>
        </w:tc>
      </w:tr>
      <w:tr w14:paraId="6FF2E00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24029DA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七</w:t>
            </w:r>
          </w:p>
        </w:tc>
        <w:tc>
          <w:tcPr>
            <w:tcW w:w="1478" w:type="pct"/>
            <w:tcBorders>
              <w:tl2br w:val="nil"/>
              <w:tr2bl w:val="nil"/>
            </w:tcBorders>
            <w:noWrap w:val="0"/>
            <w:tcMar>
              <w:top w:w="15" w:type="dxa"/>
              <w:left w:w="15" w:type="dxa"/>
              <w:right w:w="15" w:type="dxa"/>
            </w:tcMar>
            <w:vAlign w:val="center"/>
          </w:tcPr>
          <w:p w14:paraId="5E3AB2C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静态总投资</w:t>
            </w:r>
          </w:p>
        </w:tc>
        <w:tc>
          <w:tcPr>
            <w:tcW w:w="1034" w:type="dxa"/>
            <w:tcBorders>
              <w:tl2br w:val="nil"/>
              <w:tr2bl w:val="nil"/>
            </w:tcBorders>
            <w:noWrap w:val="0"/>
            <w:tcMar>
              <w:top w:w="15" w:type="dxa"/>
              <w:left w:w="15" w:type="dxa"/>
              <w:right w:w="15" w:type="dxa"/>
            </w:tcMar>
            <w:vAlign w:val="center"/>
          </w:tcPr>
          <w:p w14:paraId="365C9E1F">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73785AFE">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2D7BD9FC">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5C82C085">
            <w:pPr>
              <w:pStyle w:val="18"/>
              <w:rPr>
                <w:rFonts w:hint="eastAsia"/>
                <w:color w:val="auto"/>
                <w:lang w:val="en-US" w:eastAsia="zh-CN"/>
              </w:rPr>
            </w:pPr>
            <w:r>
              <w:rPr>
                <w:rFonts w:hint="default"/>
                <w:color w:val="auto"/>
                <w:lang w:val="en-US" w:eastAsia="zh-CN"/>
              </w:rPr>
              <w:t>0</w:t>
            </w:r>
          </w:p>
        </w:tc>
        <w:tc>
          <w:tcPr>
            <w:tcW w:w="1093" w:type="dxa"/>
            <w:tcBorders>
              <w:tl2br w:val="nil"/>
              <w:tr2bl w:val="nil"/>
            </w:tcBorders>
            <w:noWrap w:val="0"/>
            <w:tcMar>
              <w:top w:w="15" w:type="dxa"/>
              <w:left w:w="15" w:type="dxa"/>
              <w:right w:w="15" w:type="dxa"/>
            </w:tcMar>
            <w:vAlign w:val="center"/>
          </w:tcPr>
          <w:p w14:paraId="7F43FAA3">
            <w:pPr>
              <w:pStyle w:val="18"/>
              <w:rPr>
                <w:rFonts w:hint="eastAsia"/>
                <w:color w:val="auto"/>
                <w:lang w:val="en-US" w:eastAsia="zh-CN"/>
              </w:rPr>
            </w:pPr>
            <w:r>
              <w:rPr>
                <w:rFonts w:hint="default"/>
                <w:color w:val="auto"/>
                <w:lang w:val="en-US" w:eastAsia="zh-CN"/>
              </w:rPr>
              <w:t>0</w:t>
            </w:r>
          </w:p>
        </w:tc>
      </w:tr>
      <w:tr w14:paraId="007BB5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264" w:type="pct"/>
            <w:tcBorders>
              <w:tl2br w:val="nil"/>
              <w:tr2bl w:val="nil"/>
            </w:tcBorders>
            <w:noWrap w:val="0"/>
            <w:tcMar>
              <w:top w:w="15" w:type="dxa"/>
              <w:left w:w="15" w:type="dxa"/>
              <w:right w:w="15" w:type="dxa"/>
            </w:tcMar>
            <w:vAlign w:val="center"/>
          </w:tcPr>
          <w:p w14:paraId="0242B77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八</w:t>
            </w:r>
          </w:p>
        </w:tc>
        <w:tc>
          <w:tcPr>
            <w:tcW w:w="1478" w:type="pct"/>
            <w:tcBorders>
              <w:tl2br w:val="nil"/>
              <w:tr2bl w:val="nil"/>
            </w:tcBorders>
            <w:noWrap w:val="0"/>
            <w:tcMar>
              <w:top w:w="15" w:type="dxa"/>
              <w:left w:w="15" w:type="dxa"/>
              <w:right w:w="15" w:type="dxa"/>
            </w:tcMar>
            <w:vAlign w:val="center"/>
          </w:tcPr>
          <w:p w14:paraId="7A89EC0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水土保持补偿费</w:t>
            </w:r>
          </w:p>
        </w:tc>
        <w:tc>
          <w:tcPr>
            <w:tcW w:w="1034" w:type="dxa"/>
            <w:tcBorders>
              <w:tl2br w:val="nil"/>
              <w:tr2bl w:val="nil"/>
            </w:tcBorders>
            <w:noWrap w:val="0"/>
            <w:tcMar>
              <w:top w:w="15" w:type="dxa"/>
              <w:left w:w="15" w:type="dxa"/>
              <w:right w:w="15" w:type="dxa"/>
            </w:tcMar>
            <w:vAlign w:val="center"/>
          </w:tcPr>
          <w:p w14:paraId="5BFC6E59">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38780028">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147C4100">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04E0AB06">
            <w:pPr>
              <w:pStyle w:val="18"/>
              <w:rPr>
                <w:rFonts w:hint="default"/>
                <w:color w:val="auto"/>
                <w:lang w:val="en-US" w:eastAsia="zh-CN"/>
              </w:rPr>
            </w:pPr>
            <w:r>
              <w:rPr>
                <w:rFonts w:hint="default"/>
                <w:color w:val="auto"/>
                <w:lang w:val="en-US" w:eastAsia="zh-CN"/>
              </w:rPr>
              <w:t>0</w:t>
            </w:r>
          </w:p>
        </w:tc>
        <w:tc>
          <w:tcPr>
            <w:tcW w:w="1093" w:type="dxa"/>
            <w:tcBorders>
              <w:tl2br w:val="nil"/>
              <w:tr2bl w:val="nil"/>
            </w:tcBorders>
            <w:noWrap w:val="0"/>
            <w:tcMar>
              <w:top w:w="15" w:type="dxa"/>
              <w:left w:w="15" w:type="dxa"/>
              <w:right w:w="15" w:type="dxa"/>
            </w:tcMar>
            <w:vAlign w:val="center"/>
          </w:tcPr>
          <w:p w14:paraId="4ABC4FF1">
            <w:pPr>
              <w:pStyle w:val="18"/>
              <w:rPr>
                <w:rFonts w:hint="eastAsia"/>
                <w:color w:val="auto"/>
                <w:lang w:val="en-US" w:eastAsia="zh-CN"/>
              </w:rPr>
            </w:pPr>
            <w:r>
              <w:rPr>
                <w:rFonts w:hint="default"/>
                <w:color w:val="auto"/>
                <w:lang w:val="en-US" w:eastAsia="zh-CN"/>
              </w:rPr>
              <w:t>0</w:t>
            </w:r>
          </w:p>
        </w:tc>
      </w:tr>
      <w:tr w14:paraId="117856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264" w:type="pct"/>
            <w:tcBorders>
              <w:tl2br w:val="nil"/>
              <w:tr2bl w:val="nil"/>
            </w:tcBorders>
            <w:noWrap w:val="0"/>
            <w:tcMar>
              <w:top w:w="15" w:type="dxa"/>
              <w:left w:w="15" w:type="dxa"/>
              <w:right w:w="15" w:type="dxa"/>
            </w:tcMar>
            <w:vAlign w:val="center"/>
          </w:tcPr>
          <w:p w14:paraId="3227F4E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九</w:t>
            </w:r>
          </w:p>
        </w:tc>
        <w:tc>
          <w:tcPr>
            <w:tcW w:w="1478" w:type="pct"/>
            <w:tcBorders>
              <w:tl2br w:val="nil"/>
              <w:tr2bl w:val="nil"/>
            </w:tcBorders>
            <w:noWrap w:val="0"/>
            <w:tcMar>
              <w:top w:w="15" w:type="dxa"/>
              <w:left w:w="15" w:type="dxa"/>
              <w:right w:w="15" w:type="dxa"/>
            </w:tcMar>
            <w:vAlign w:val="center"/>
          </w:tcPr>
          <w:p w14:paraId="66306BA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cs="Times New Roman"/>
                <w:sz w:val="24"/>
                <w:szCs w:val="24"/>
              </w:rPr>
            </w:pPr>
            <w:r>
              <w:rPr>
                <w:rFonts w:hint="eastAsia" w:ascii="Times New Roman" w:hAnsi="Times New Roman" w:cs="Times New Roman"/>
                <w:sz w:val="24"/>
                <w:szCs w:val="24"/>
              </w:rPr>
              <w:t>总投资</w:t>
            </w:r>
          </w:p>
        </w:tc>
        <w:tc>
          <w:tcPr>
            <w:tcW w:w="1034" w:type="dxa"/>
            <w:tcBorders>
              <w:tl2br w:val="nil"/>
              <w:tr2bl w:val="nil"/>
            </w:tcBorders>
            <w:noWrap w:val="0"/>
            <w:tcMar>
              <w:top w:w="15" w:type="dxa"/>
              <w:left w:w="15" w:type="dxa"/>
              <w:right w:w="15" w:type="dxa"/>
            </w:tcMar>
            <w:vAlign w:val="center"/>
          </w:tcPr>
          <w:p w14:paraId="5D2F1B58">
            <w:pPr>
              <w:pStyle w:val="18"/>
              <w:rPr>
                <w:rFonts w:hint="eastAsia"/>
                <w:color w:val="auto"/>
                <w:lang w:val="en-US" w:eastAsia="zh-CN"/>
              </w:rPr>
            </w:pPr>
          </w:p>
        </w:tc>
        <w:tc>
          <w:tcPr>
            <w:tcW w:w="1900" w:type="dxa"/>
            <w:gridSpan w:val="2"/>
            <w:tcBorders>
              <w:tl2br w:val="nil"/>
              <w:tr2bl w:val="nil"/>
            </w:tcBorders>
            <w:noWrap w:val="0"/>
            <w:tcMar>
              <w:top w:w="15" w:type="dxa"/>
              <w:left w:w="15" w:type="dxa"/>
              <w:right w:w="15" w:type="dxa"/>
            </w:tcMar>
            <w:vAlign w:val="center"/>
          </w:tcPr>
          <w:p w14:paraId="4244A079">
            <w:pPr>
              <w:pStyle w:val="18"/>
              <w:rPr>
                <w:rFonts w:hint="eastAsia"/>
                <w:color w:val="auto"/>
                <w:lang w:val="en-US" w:eastAsia="zh-CN"/>
              </w:rPr>
            </w:pPr>
          </w:p>
        </w:tc>
        <w:tc>
          <w:tcPr>
            <w:tcW w:w="736" w:type="dxa"/>
            <w:tcBorders>
              <w:tl2br w:val="nil"/>
              <w:tr2bl w:val="nil"/>
            </w:tcBorders>
            <w:noWrap w:val="0"/>
            <w:tcMar>
              <w:top w:w="15" w:type="dxa"/>
              <w:left w:w="15" w:type="dxa"/>
              <w:right w:w="15" w:type="dxa"/>
            </w:tcMar>
            <w:vAlign w:val="center"/>
          </w:tcPr>
          <w:p w14:paraId="3B28F837">
            <w:pPr>
              <w:pStyle w:val="18"/>
              <w:rPr>
                <w:rFonts w:hint="eastAsia"/>
                <w:color w:val="auto"/>
                <w:lang w:val="en-US" w:eastAsia="zh-CN"/>
              </w:rPr>
            </w:pPr>
          </w:p>
        </w:tc>
        <w:tc>
          <w:tcPr>
            <w:tcW w:w="944" w:type="dxa"/>
            <w:tcBorders>
              <w:tl2br w:val="nil"/>
              <w:tr2bl w:val="nil"/>
            </w:tcBorders>
            <w:noWrap w:val="0"/>
            <w:tcMar>
              <w:top w:w="15" w:type="dxa"/>
              <w:left w:w="15" w:type="dxa"/>
              <w:right w:w="15" w:type="dxa"/>
            </w:tcMar>
            <w:vAlign w:val="center"/>
          </w:tcPr>
          <w:p w14:paraId="517D9CA8">
            <w:pPr>
              <w:pStyle w:val="18"/>
              <w:rPr>
                <w:rFonts w:hint="eastAsia"/>
                <w:color w:val="auto"/>
                <w:lang w:val="en-US" w:eastAsia="zh-CN"/>
              </w:rPr>
            </w:pPr>
          </w:p>
        </w:tc>
        <w:tc>
          <w:tcPr>
            <w:tcW w:w="1093" w:type="dxa"/>
            <w:tcBorders>
              <w:tl2br w:val="nil"/>
              <w:tr2bl w:val="nil"/>
            </w:tcBorders>
            <w:noWrap w:val="0"/>
            <w:tcMar>
              <w:top w:w="15" w:type="dxa"/>
              <w:left w:w="15" w:type="dxa"/>
              <w:right w:w="15" w:type="dxa"/>
            </w:tcMar>
            <w:vAlign w:val="center"/>
          </w:tcPr>
          <w:p w14:paraId="063C05DD">
            <w:pPr>
              <w:pStyle w:val="18"/>
              <w:rPr>
                <w:rFonts w:hint="default"/>
                <w:color w:val="auto"/>
                <w:lang w:val="en-US" w:eastAsia="zh-CN"/>
              </w:rPr>
            </w:pPr>
            <w:r>
              <w:rPr>
                <w:rFonts w:hint="eastAsia"/>
                <w:color w:val="auto"/>
                <w:lang w:val="en-US" w:eastAsia="zh-CN"/>
              </w:rPr>
              <w:t>155.77</w:t>
            </w:r>
          </w:p>
        </w:tc>
      </w:tr>
    </w:tbl>
    <w:p w14:paraId="5D5EF601">
      <w:pPr>
        <w:pStyle w:val="4"/>
        <w:keepNext/>
        <w:keepLines/>
        <w:pageBreakBefore w:val="0"/>
        <w:widowControl/>
        <w:kinsoku/>
        <w:wordWrap/>
        <w:overflowPunct/>
        <w:topLinePunct w:val="0"/>
        <w:autoSpaceDE/>
        <w:autoSpaceDN/>
        <w:bidi w:val="0"/>
        <w:adjustRightInd/>
        <w:snapToGrid/>
        <w:spacing w:before="200" w:beforeLines="50"/>
        <w:textAlignment w:val="auto"/>
        <w:rPr>
          <w:rFonts w:eastAsia="仿宋"/>
          <w:color w:val="auto"/>
          <w:kern w:val="0"/>
        </w:rPr>
      </w:pPr>
      <w:r>
        <w:rPr>
          <w:rFonts w:eastAsia="仿宋"/>
          <w:color w:val="auto"/>
          <w:kern w:val="0"/>
        </w:rPr>
        <w:t>3.6.3投资变化的主要原因</w:t>
      </w:r>
      <w:bookmarkEnd w:id="69"/>
    </w:p>
    <w:p w14:paraId="26E26B1D">
      <w:pPr>
        <w:numPr>
          <w:ilvl w:val="0"/>
          <w:numId w:val="1"/>
        </w:numPr>
        <w:ind w:firstLine="560"/>
        <w:rPr>
          <w:color w:val="auto"/>
          <w:szCs w:val="28"/>
        </w:rPr>
      </w:pPr>
      <w:r>
        <w:rPr>
          <w:rFonts w:hint="eastAsia"/>
          <w:color w:val="auto"/>
          <w:szCs w:val="28"/>
          <w:lang w:val="en-US" w:eastAsia="zh-CN"/>
        </w:rPr>
        <w:t>项目施工生产生活区的工程措施和植物措施在实际的施工中，在施工结束后归还原嘉达纺织厂地北侧规划路道路工程建设单位建设使用，并无另外进行土地整治和撒播草籽。较批复的水土保持投资减少0.55万元。</w:t>
      </w:r>
    </w:p>
    <w:p w14:paraId="16B58106">
      <w:pPr>
        <w:numPr>
          <w:ilvl w:val="0"/>
          <w:numId w:val="1"/>
        </w:numPr>
        <w:ind w:firstLine="560"/>
        <w:rPr>
          <w:color w:val="auto"/>
          <w:szCs w:val="28"/>
        </w:rPr>
      </w:pPr>
      <w:r>
        <w:rPr>
          <w:rFonts w:hint="eastAsia"/>
          <w:color w:val="auto"/>
          <w:szCs w:val="28"/>
          <w:lang w:val="en-US" w:eastAsia="zh-CN"/>
        </w:rPr>
        <w:t>项目的水土保持监理纳入主体监理，</w:t>
      </w:r>
      <w:r>
        <w:rPr>
          <w:rFonts w:hint="eastAsia"/>
          <w:color w:val="auto"/>
          <w:szCs w:val="28"/>
          <w:highlight w:val="none"/>
          <w:lang w:val="en-US" w:eastAsia="zh-CN"/>
        </w:rPr>
        <w:t>较批复的水土保持投资6.00万元减少6.00万元。</w:t>
      </w:r>
    </w:p>
    <w:p w14:paraId="0D05C355">
      <w:pPr>
        <w:numPr>
          <w:ilvl w:val="0"/>
          <w:numId w:val="1"/>
        </w:numPr>
        <w:ind w:firstLine="560"/>
        <w:rPr>
          <w:color w:val="auto"/>
          <w:szCs w:val="28"/>
        </w:rPr>
      </w:pPr>
      <w:r>
        <w:rPr>
          <w:rFonts w:hint="eastAsia"/>
          <w:color w:val="auto"/>
          <w:szCs w:val="28"/>
          <w:lang w:val="en-US" w:eastAsia="zh-CN"/>
        </w:rPr>
        <w:t>项目的基本预备费</w:t>
      </w:r>
      <w:r>
        <w:rPr>
          <w:rFonts w:hint="eastAsia"/>
          <w:color w:val="auto"/>
          <w:szCs w:val="28"/>
          <w:highlight w:val="none"/>
          <w:lang w:val="en-US" w:eastAsia="zh-CN"/>
        </w:rPr>
        <w:t>较批复的水土保持投资3.24万元减少0.46万元。</w:t>
      </w:r>
    </w:p>
    <w:p w14:paraId="06CD5D84">
      <w:pPr>
        <w:numPr>
          <w:ilvl w:val="0"/>
          <w:numId w:val="1"/>
        </w:numPr>
        <w:ind w:firstLine="560"/>
        <w:rPr>
          <w:color w:val="auto"/>
          <w:szCs w:val="28"/>
        </w:rPr>
      </w:pPr>
      <w:r>
        <w:rPr>
          <w:rFonts w:hint="eastAsia"/>
          <w:color w:val="auto"/>
          <w:szCs w:val="28"/>
        </w:rPr>
        <w:t>项目</w:t>
      </w:r>
      <w:r>
        <w:rPr>
          <w:rFonts w:hint="eastAsia"/>
          <w:color w:val="auto"/>
          <w:szCs w:val="28"/>
          <w:lang w:val="en-US" w:eastAsia="zh-CN"/>
        </w:rPr>
        <w:t>的科研勘测设计费用</w:t>
      </w:r>
      <w:r>
        <w:rPr>
          <w:rFonts w:hint="eastAsia"/>
          <w:color w:val="auto"/>
          <w:szCs w:val="28"/>
          <w:highlight w:val="none"/>
          <w:lang w:val="en-US" w:eastAsia="zh-CN"/>
        </w:rPr>
        <w:t>较批复的水土保持投资5.00万元减少0.42万元。</w:t>
      </w:r>
    </w:p>
    <w:p w14:paraId="38111776">
      <w:pPr>
        <w:numPr>
          <w:ilvl w:val="0"/>
          <w:numId w:val="1"/>
        </w:numPr>
        <w:ind w:firstLine="560"/>
        <w:rPr>
          <w:color w:val="auto"/>
          <w:szCs w:val="28"/>
        </w:rPr>
      </w:pPr>
      <w:r>
        <w:rPr>
          <w:rFonts w:hint="eastAsia"/>
          <w:color w:val="auto"/>
          <w:szCs w:val="28"/>
          <w:highlight w:val="none"/>
          <w:lang w:val="en-US" w:eastAsia="zh-CN"/>
        </w:rPr>
        <w:t>水土保持补偿费减少2.009万元。</w:t>
      </w:r>
    </w:p>
    <w:p w14:paraId="09647E4C">
      <w:pPr>
        <w:numPr>
          <w:ilvl w:val="0"/>
          <w:numId w:val="1"/>
        </w:numPr>
        <w:ind w:firstLine="560"/>
        <w:rPr>
          <w:color w:val="auto"/>
          <w:szCs w:val="28"/>
        </w:rPr>
      </w:pPr>
      <w:r>
        <w:rPr>
          <w:rFonts w:hint="eastAsia"/>
          <w:color w:val="auto"/>
          <w:szCs w:val="28"/>
          <w:highlight w:val="none"/>
          <w:lang w:val="en-US" w:eastAsia="zh-CN"/>
        </w:rPr>
        <w:t>主体工程区的苫盖面积较水土保持方案批复的量增加，较批复的水土保持投资36.57万元增加0.04万元。</w:t>
      </w:r>
    </w:p>
    <w:p w14:paraId="6A57AF8E">
      <w:pPr>
        <w:numPr>
          <w:ilvl w:val="0"/>
          <w:numId w:val="1"/>
        </w:numPr>
        <w:ind w:firstLine="560"/>
        <w:rPr>
          <w:color w:val="FF0000"/>
          <w:szCs w:val="28"/>
        </w:rPr>
      </w:pPr>
      <w:r>
        <w:rPr>
          <w:rFonts w:hint="eastAsia"/>
          <w:color w:val="auto"/>
          <w:szCs w:val="28"/>
          <w:lang w:val="en-US" w:eastAsia="zh-CN"/>
        </w:rPr>
        <w:t>建设管理费较</w:t>
      </w:r>
      <w:r>
        <w:rPr>
          <w:rFonts w:hint="eastAsia"/>
          <w:color w:val="auto"/>
          <w:szCs w:val="28"/>
          <w:highlight w:val="none"/>
          <w:lang w:val="en-US" w:eastAsia="zh-CN"/>
        </w:rPr>
        <w:t>批复的水土保持投资0.58万元减少0.17万元。</w:t>
      </w:r>
    </w:p>
    <w:p w14:paraId="790A56DB">
      <w:pPr>
        <w:tabs>
          <w:tab w:val="left" w:pos="8280"/>
        </w:tabs>
        <w:ind w:firstLine="560"/>
        <w:rPr>
          <w:color w:val="auto"/>
          <w:szCs w:val="28"/>
        </w:rPr>
      </w:pPr>
      <w:r>
        <w:rPr>
          <w:color w:val="auto"/>
          <w:szCs w:val="28"/>
        </w:rPr>
        <w:t>以上原因，使得水土保持投资总体</w:t>
      </w:r>
      <w:r>
        <w:rPr>
          <w:rFonts w:hint="eastAsia"/>
          <w:color w:val="auto"/>
          <w:szCs w:val="28"/>
        </w:rPr>
        <w:t>减少了</w:t>
      </w:r>
      <w:r>
        <w:rPr>
          <w:rFonts w:hint="eastAsia"/>
          <w:color w:val="auto"/>
          <w:szCs w:val="28"/>
          <w:lang w:val="en-US" w:eastAsia="zh-CN"/>
        </w:rPr>
        <w:t>10.4605</w:t>
      </w:r>
      <w:r>
        <w:rPr>
          <w:color w:val="auto"/>
          <w:szCs w:val="28"/>
        </w:rPr>
        <w:t>万元。</w:t>
      </w:r>
    </w:p>
    <w:p w14:paraId="66E45CA4">
      <w:pPr>
        <w:ind w:firstLine="560"/>
        <w:rPr>
          <w:color w:val="auto"/>
          <w:szCs w:val="28"/>
        </w:rPr>
      </w:pPr>
      <w:r>
        <w:rPr>
          <w:color w:val="auto"/>
          <w:szCs w:val="28"/>
        </w:rPr>
        <w:t>由于以上投资变化，实际完成水土保持总投资</w:t>
      </w:r>
      <w:r>
        <w:rPr>
          <w:rFonts w:hint="eastAsia" w:eastAsia="仿宋"/>
          <w:color w:val="auto"/>
          <w:szCs w:val="28"/>
          <w:lang w:val="en-US" w:eastAsia="zh-CN"/>
        </w:rPr>
        <w:t>155.77</w:t>
      </w:r>
      <w:r>
        <w:rPr>
          <w:color w:val="auto"/>
          <w:szCs w:val="28"/>
        </w:rPr>
        <w:t>万元，比方案设计的水土保持总投资</w:t>
      </w:r>
      <w:r>
        <w:rPr>
          <w:rFonts w:hint="eastAsia" w:eastAsia="仿宋"/>
          <w:color w:val="auto"/>
          <w:szCs w:val="28"/>
          <w:lang w:val="en-US" w:eastAsia="zh-CN"/>
        </w:rPr>
        <w:t>166.2305</w:t>
      </w:r>
      <w:r>
        <w:rPr>
          <w:color w:val="auto"/>
          <w:szCs w:val="28"/>
        </w:rPr>
        <w:t>万元，</w:t>
      </w:r>
      <w:r>
        <w:rPr>
          <w:rFonts w:hint="eastAsia"/>
          <w:color w:val="auto"/>
          <w:szCs w:val="28"/>
        </w:rPr>
        <w:t>减少了</w:t>
      </w:r>
      <w:r>
        <w:rPr>
          <w:rFonts w:hint="eastAsia"/>
          <w:color w:val="auto"/>
          <w:szCs w:val="28"/>
          <w:lang w:val="en-US" w:eastAsia="zh-CN"/>
        </w:rPr>
        <w:t>10.4605</w:t>
      </w:r>
      <w:r>
        <w:rPr>
          <w:color w:val="auto"/>
          <w:szCs w:val="28"/>
        </w:rPr>
        <w:t>万元。投资变化客观、合理，符合实际，基本达到预期目标。</w:t>
      </w:r>
    </w:p>
    <w:p w14:paraId="5D775879">
      <w:pPr>
        <w:ind w:firstLine="482"/>
        <w:rPr>
          <w:rFonts w:eastAsia="仿宋"/>
          <w:color w:val="auto"/>
          <w:kern w:val="0"/>
          <w:szCs w:val="22"/>
        </w:rPr>
        <w:sectPr>
          <w:headerReference r:id="rId17" w:type="default"/>
          <w:footerReference r:id="rId19" w:type="default"/>
          <w:headerReference r:id="rId18"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b/>
          <w:color w:val="auto"/>
          <w:sz w:val="24"/>
          <w:highlight w:val="yellow"/>
        </w:rPr>
        <w:br w:type="page"/>
      </w:r>
    </w:p>
    <w:p w14:paraId="5C42EB34">
      <w:pPr>
        <w:pStyle w:val="2"/>
        <w:widowControl/>
        <w:adjustRightInd w:val="0"/>
        <w:snapToGrid w:val="0"/>
        <w:spacing w:line="480" w:lineRule="auto"/>
        <w:ind w:firstLine="723"/>
        <w:rPr>
          <w:rFonts w:eastAsia="仿宋"/>
          <w:b/>
          <w:bCs w:val="0"/>
          <w:color w:val="auto"/>
          <w:szCs w:val="22"/>
        </w:rPr>
      </w:pPr>
      <w:bookmarkStart w:id="70" w:name="_Toc29713"/>
      <w:r>
        <w:rPr>
          <w:rFonts w:eastAsia="仿宋"/>
          <w:b/>
          <w:bCs w:val="0"/>
          <w:color w:val="auto"/>
          <w:szCs w:val="22"/>
        </w:rPr>
        <w:t>4  水土保持工程质量</w:t>
      </w:r>
      <w:bookmarkEnd w:id="70"/>
    </w:p>
    <w:p w14:paraId="1AEE5DE9">
      <w:pPr>
        <w:pStyle w:val="3"/>
        <w:widowControl/>
        <w:rPr>
          <w:rFonts w:eastAsia="仿宋"/>
          <w:color w:val="auto"/>
          <w:kern w:val="0"/>
          <w:szCs w:val="30"/>
        </w:rPr>
      </w:pPr>
      <w:bookmarkStart w:id="71" w:name="_Toc32208"/>
      <w:bookmarkStart w:id="72" w:name="_Toc9817"/>
      <w:bookmarkStart w:id="73" w:name="_Toc17235"/>
      <w:bookmarkStart w:id="74" w:name="_Toc3097"/>
      <w:bookmarkStart w:id="75" w:name="_Toc845"/>
      <w:bookmarkStart w:id="76" w:name="_Toc22285"/>
      <w:bookmarkStart w:id="77" w:name="_Toc7914"/>
      <w:r>
        <w:rPr>
          <w:rFonts w:eastAsia="仿宋"/>
          <w:color w:val="auto"/>
          <w:kern w:val="0"/>
          <w:szCs w:val="30"/>
        </w:rPr>
        <w:t>4.1质量管理体系</w:t>
      </w:r>
      <w:bookmarkEnd w:id="71"/>
      <w:bookmarkEnd w:id="72"/>
      <w:bookmarkEnd w:id="73"/>
      <w:bookmarkEnd w:id="74"/>
    </w:p>
    <w:p w14:paraId="33D6892F">
      <w:pPr>
        <w:tabs>
          <w:tab w:val="left" w:pos="8280"/>
        </w:tabs>
        <w:spacing w:line="560" w:lineRule="exact"/>
        <w:ind w:firstLine="560"/>
        <w:rPr>
          <w:rFonts w:eastAsia="仿宋"/>
          <w:color w:val="auto"/>
          <w:szCs w:val="28"/>
        </w:rPr>
      </w:pPr>
      <w:r>
        <w:rPr>
          <w:rFonts w:eastAsia="仿宋"/>
          <w:color w:val="auto"/>
          <w:szCs w:val="28"/>
        </w:rPr>
        <w:t>根据工程的特点和施工情况，建设单位对项目实行项目经理负责制、招标投标制和工程监理制，水土保持工程的建设和管理亦纳入了主体工程的建设管理体系中。</w:t>
      </w:r>
    </w:p>
    <w:p w14:paraId="642EFEC3">
      <w:pPr>
        <w:tabs>
          <w:tab w:val="left" w:pos="8280"/>
        </w:tabs>
        <w:spacing w:line="560" w:lineRule="exact"/>
        <w:ind w:firstLine="560"/>
        <w:rPr>
          <w:rFonts w:eastAsia="仿宋"/>
          <w:color w:val="auto"/>
          <w:szCs w:val="28"/>
        </w:rPr>
      </w:pPr>
      <w:r>
        <w:rPr>
          <w:rFonts w:eastAsia="仿宋"/>
          <w:color w:val="auto"/>
          <w:szCs w:val="28"/>
        </w:rPr>
        <w:t>为保证施工质量，经常性地对职工和施工人员进行水土保持宣传和施工质量教育，提高职工和施工人员的水土保持意识和质量意识。从经理到班组，规定了各自岗位和职责，明确了责任和义务，在工程施工中严格执行质量二检制，层层把关，施工质量达不到标准不验收，上一道工序未经验收或验收不合格的，不能进行下一道工序的施工制度，以确保工程施工质量。实行施工质量责任制和施工质量经济责任制，一发现</w:t>
      </w:r>
      <w:r>
        <w:rPr>
          <w:rFonts w:hint="eastAsia" w:eastAsia="仿宋"/>
          <w:color w:val="auto"/>
          <w:szCs w:val="28"/>
          <w:lang w:eastAsia="zh-CN"/>
        </w:rPr>
        <w:t>施工</w:t>
      </w:r>
      <w:r>
        <w:rPr>
          <w:rFonts w:eastAsia="仿宋"/>
          <w:color w:val="auto"/>
          <w:szCs w:val="28"/>
        </w:rPr>
        <w:t>质量问题，立即召开会议，及时解决问题，同时制定了质量制度和奖罚办法，对出现施工质量事故，实行“三不放过”，对出现施工质量事故的直接责任人实行处罚，对施工质量优良者实行奖励，保证施工技术人员跟班作业和质检员在现场检查执行</w:t>
      </w:r>
      <w:r>
        <w:rPr>
          <w:rFonts w:hint="eastAsia" w:eastAsia="仿宋"/>
          <w:color w:val="auto"/>
          <w:szCs w:val="28"/>
          <w:lang w:eastAsia="zh-CN"/>
        </w:rPr>
        <w:t>权力</w:t>
      </w:r>
      <w:r>
        <w:rPr>
          <w:rFonts w:eastAsia="仿宋"/>
          <w:color w:val="auto"/>
          <w:szCs w:val="28"/>
        </w:rPr>
        <w:t>，确保工程质量目标的实现。</w:t>
      </w:r>
    </w:p>
    <w:p w14:paraId="21E54F2C">
      <w:pPr>
        <w:tabs>
          <w:tab w:val="left" w:pos="8280"/>
        </w:tabs>
        <w:spacing w:line="560" w:lineRule="exact"/>
        <w:ind w:firstLine="560"/>
        <w:rPr>
          <w:rFonts w:eastAsia="仿宋"/>
          <w:color w:val="auto"/>
          <w:szCs w:val="28"/>
        </w:rPr>
        <w:sectPr>
          <w:headerReference r:id="rId20" w:type="default"/>
          <w:headerReference r:id="rId21"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color w:val="auto"/>
          <w:szCs w:val="28"/>
        </w:rPr>
        <w:t>工程质量控制流程见图4-1。</w:t>
      </w:r>
    </w:p>
    <w:p w14:paraId="1A7A0521">
      <w:pPr>
        <w:ind w:firstLine="0" w:firstLineChars="0"/>
        <w:rPr>
          <w:rFonts w:eastAsia="仿宋"/>
          <w:color w:val="auto"/>
        </w:rPr>
      </w:pPr>
      <w:r>
        <w:rPr>
          <w:color w:val="auto"/>
        </w:rPr>
        <w:drawing>
          <wp:inline distT="0" distB="0" distL="114300" distR="114300">
            <wp:extent cx="5541010" cy="6101715"/>
            <wp:effectExtent l="0" t="0" r="254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cstate="print"/>
                    <a:stretch>
                      <a:fillRect/>
                    </a:stretch>
                  </pic:blipFill>
                  <pic:spPr>
                    <a:xfrm>
                      <a:off x="0" y="0"/>
                      <a:ext cx="5541010" cy="6101715"/>
                    </a:xfrm>
                    <a:prstGeom prst="rect">
                      <a:avLst/>
                    </a:prstGeom>
                    <a:noFill/>
                    <a:ln>
                      <a:noFill/>
                    </a:ln>
                  </pic:spPr>
                </pic:pic>
              </a:graphicData>
            </a:graphic>
          </wp:inline>
        </w:drawing>
      </w:r>
    </w:p>
    <w:p w14:paraId="27221DA8">
      <w:pPr>
        <w:ind w:firstLine="560"/>
        <w:rPr>
          <w:rFonts w:hint="eastAsia" w:eastAsia="仿宋"/>
          <w:color w:val="auto"/>
          <w:kern w:val="0"/>
          <w:szCs w:val="28"/>
          <w:lang w:eastAsia="zh-CN"/>
        </w:rPr>
      </w:pPr>
      <w:r>
        <w:rPr>
          <w:rFonts w:hint="eastAsia" w:eastAsia="仿宋"/>
          <w:color w:val="auto"/>
          <w:szCs w:val="28"/>
        </w:rPr>
        <w:t>工</w:t>
      </w:r>
      <w:r>
        <w:rPr>
          <w:rFonts w:eastAsia="仿宋"/>
          <w:color w:val="auto"/>
          <w:szCs w:val="28"/>
        </w:rPr>
        <w:t>程建设：</w:t>
      </w:r>
      <w:r>
        <w:rPr>
          <w:rFonts w:hint="eastAsia" w:eastAsia="仿宋"/>
          <w:color w:val="auto"/>
          <w:kern w:val="0"/>
          <w:szCs w:val="28"/>
          <w:lang w:eastAsia="zh-CN"/>
        </w:rPr>
        <w:t>福州市延安中学教育集团国福校区</w:t>
      </w:r>
    </w:p>
    <w:p w14:paraId="5B5973E0">
      <w:pPr>
        <w:ind w:firstLine="560"/>
        <w:rPr>
          <w:rFonts w:hint="eastAsia" w:eastAsia="仿宋"/>
          <w:color w:val="auto"/>
          <w:szCs w:val="28"/>
          <w:lang w:eastAsia="zh-CN"/>
        </w:rPr>
      </w:pPr>
      <w:r>
        <w:rPr>
          <w:rFonts w:eastAsia="仿宋"/>
          <w:color w:val="auto"/>
          <w:szCs w:val="28"/>
        </w:rPr>
        <w:t>建设单位：</w:t>
      </w:r>
      <w:r>
        <w:rPr>
          <w:rFonts w:hint="eastAsia" w:eastAsia="仿宋"/>
          <w:color w:val="auto"/>
          <w:kern w:val="0"/>
          <w:szCs w:val="28"/>
          <w:lang w:eastAsia="zh-CN"/>
        </w:rPr>
        <w:t>福州市延安中学</w:t>
      </w:r>
    </w:p>
    <w:p w14:paraId="7EDD6F92">
      <w:pPr>
        <w:ind w:firstLine="560"/>
        <w:rPr>
          <w:rFonts w:hint="default" w:eastAsia="仿宋"/>
          <w:color w:val="auto"/>
          <w:szCs w:val="28"/>
          <w:lang w:val="en-US" w:eastAsia="zh-CN"/>
        </w:rPr>
      </w:pPr>
      <w:r>
        <w:rPr>
          <w:rFonts w:hint="eastAsia" w:eastAsia="仿宋"/>
          <w:color w:val="auto"/>
          <w:szCs w:val="28"/>
          <w:lang w:val="en-US" w:eastAsia="zh-CN"/>
        </w:rPr>
        <w:t>代建单位：榕建德育（福州）建设投资有限公司</w:t>
      </w:r>
    </w:p>
    <w:p w14:paraId="70C82E87">
      <w:pPr>
        <w:ind w:firstLine="560"/>
        <w:rPr>
          <w:rFonts w:hint="eastAsia" w:eastAsia="仿宋"/>
          <w:color w:val="auto"/>
          <w:szCs w:val="28"/>
          <w:lang w:eastAsia="zh-CN"/>
        </w:rPr>
      </w:pPr>
      <w:r>
        <w:rPr>
          <w:rFonts w:hint="eastAsia" w:eastAsia="仿宋"/>
          <w:color w:val="auto"/>
          <w:szCs w:val="28"/>
        </w:rPr>
        <w:t>设计</w:t>
      </w:r>
      <w:r>
        <w:rPr>
          <w:rFonts w:eastAsia="仿宋"/>
          <w:color w:val="auto"/>
          <w:szCs w:val="28"/>
        </w:rPr>
        <w:t>单位：</w:t>
      </w:r>
      <w:r>
        <w:rPr>
          <w:rFonts w:hint="eastAsia" w:eastAsia="仿宋"/>
          <w:color w:val="auto"/>
          <w:kern w:val="0"/>
          <w:szCs w:val="28"/>
          <w:lang w:eastAsia="zh-CN"/>
        </w:rPr>
        <w:t>福建省二建建设集团有限公司</w:t>
      </w:r>
    </w:p>
    <w:p w14:paraId="32030126">
      <w:pPr>
        <w:ind w:firstLine="560"/>
        <w:rPr>
          <w:rFonts w:hint="eastAsia" w:eastAsia="仿宋"/>
          <w:color w:val="auto"/>
          <w:szCs w:val="28"/>
          <w:lang w:eastAsia="zh-CN"/>
        </w:rPr>
      </w:pPr>
      <w:r>
        <w:rPr>
          <w:rFonts w:eastAsia="仿宋"/>
          <w:color w:val="auto"/>
          <w:szCs w:val="28"/>
        </w:rPr>
        <w:t>施工单位：</w:t>
      </w:r>
      <w:r>
        <w:rPr>
          <w:rFonts w:hint="eastAsia" w:eastAsia="仿宋"/>
          <w:color w:val="auto"/>
          <w:szCs w:val="28"/>
          <w:lang w:eastAsia="zh-CN"/>
        </w:rPr>
        <w:t>福建省二建建设集团有限公司</w:t>
      </w:r>
    </w:p>
    <w:p w14:paraId="2BFAC0DC">
      <w:pPr>
        <w:ind w:firstLine="560"/>
        <w:rPr>
          <w:rFonts w:hint="eastAsia"/>
          <w:color w:val="auto"/>
          <w:lang w:eastAsia="zh-CN"/>
        </w:rPr>
      </w:pPr>
      <w:r>
        <w:rPr>
          <w:rFonts w:eastAsia="仿宋"/>
          <w:color w:val="auto"/>
          <w:szCs w:val="28"/>
        </w:rPr>
        <w:t>监理单位：</w:t>
      </w:r>
      <w:r>
        <w:rPr>
          <w:rFonts w:hint="eastAsia" w:eastAsia="仿宋"/>
          <w:color w:val="auto"/>
          <w:szCs w:val="28"/>
          <w:lang w:eastAsia="zh-CN"/>
        </w:rPr>
        <w:t>福州市建设工程管理有限公司</w:t>
      </w:r>
    </w:p>
    <w:p w14:paraId="3999AD27">
      <w:pPr>
        <w:pStyle w:val="3"/>
        <w:widowControl/>
        <w:rPr>
          <w:rFonts w:eastAsia="仿宋"/>
          <w:color w:val="auto"/>
          <w:kern w:val="0"/>
          <w:szCs w:val="30"/>
        </w:rPr>
      </w:pPr>
      <w:bookmarkStart w:id="78" w:name="_Toc24783"/>
      <w:bookmarkStart w:id="79" w:name="_Toc13887"/>
      <w:bookmarkStart w:id="80" w:name="_Toc23695"/>
      <w:bookmarkStart w:id="81" w:name="_Toc20347"/>
      <w:r>
        <w:rPr>
          <w:rFonts w:eastAsia="仿宋"/>
          <w:color w:val="auto"/>
          <w:kern w:val="0"/>
          <w:szCs w:val="30"/>
        </w:rPr>
        <w:t>4.2各防治分区水土保持工程质量评</w:t>
      </w:r>
      <w:bookmarkEnd w:id="78"/>
      <w:bookmarkEnd w:id="79"/>
      <w:r>
        <w:rPr>
          <w:rFonts w:eastAsia="仿宋"/>
          <w:color w:val="auto"/>
          <w:kern w:val="0"/>
          <w:szCs w:val="30"/>
        </w:rPr>
        <w:t>定</w:t>
      </w:r>
      <w:bookmarkEnd w:id="80"/>
      <w:bookmarkEnd w:id="81"/>
    </w:p>
    <w:p w14:paraId="5B39D899">
      <w:pPr>
        <w:pStyle w:val="4"/>
        <w:widowControl/>
        <w:rPr>
          <w:rFonts w:eastAsia="仿宋"/>
          <w:color w:val="auto"/>
          <w:kern w:val="0"/>
        </w:rPr>
      </w:pPr>
      <w:r>
        <w:rPr>
          <w:rFonts w:eastAsia="仿宋"/>
          <w:color w:val="auto"/>
          <w:kern w:val="0"/>
        </w:rPr>
        <w:t>4.2.1工程划分及结果</w:t>
      </w:r>
      <w:bookmarkEnd w:id="75"/>
      <w:bookmarkEnd w:id="76"/>
      <w:bookmarkEnd w:id="77"/>
    </w:p>
    <w:p w14:paraId="3B122627">
      <w:pPr>
        <w:adjustRightInd w:val="0"/>
        <w:snapToGrid w:val="0"/>
        <w:ind w:firstLine="560"/>
        <w:rPr>
          <w:rFonts w:eastAsia="仿宋"/>
          <w:bCs/>
          <w:color w:val="auto"/>
          <w:szCs w:val="28"/>
        </w:rPr>
      </w:pPr>
      <w:bookmarkStart w:id="82" w:name="_Toc16098"/>
      <w:bookmarkStart w:id="83" w:name="_Toc9507"/>
      <w:bookmarkStart w:id="84" w:name="_Toc30387"/>
      <w:bookmarkStart w:id="85" w:name="_Toc6591"/>
      <w:r>
        <w:rPr>
          <w:rFonts w:eastAsia="仿宋"/>
          <w:bCs/>
          <w:color w:val="auto"/>
          <w:szCs w:val="28"/>
        </w:rPr>
        <w:t>根据水土保持方案设计的水土流失防治措施，结合工程实际水土保持措施建设情况，参考《水土保持工程质量评定规程》（SL336-2006），将已实施的主体工程区、</w:t>
      </w:r>
      <w:r>
        <w:rPr>
          <w:rFonts w:hint="eastAsia" w:eastAsia="仿宋"/>
          <w:bCs/>
          <w:color w:val="auto"/>
          <w:szCs w:val="28"/>
          <w:lang w:eastAsia="zh-CN"/>
        </w:rPr>
        <w:t>施工生产生活区</w:t>
      </w:r>
      <w:r>
        <w:rPr>
          <w:rFonts w:hint="eastAsia" w:eastAsia="仿宋"/>
          <w:bCs/>
          <w:color w:val="auto"/>
          <w:szCs w:val="28"/>
        </w:rPr>
        <w:t>和</w:t>
      </w:r>
      <w:r>
        <w:rPr>
          <w:rFonts w:hint="eastAsia" w:eastAsia="仿宋"/>
          <w:bCs/>
          <w:color w:val="auto"/>
          <w:szCs w:val="28"/>
          <w:lang w:eastAsia="zh-CN"/>
        </w:rPr>
        <w:t>土方临时堆场</w:t>
      </w:r>
      <w:r>
        <w:rPr>
          <w:rFonts w:eastAsia="仿宋"/>
          <w:bCs/>
          <w:color w:val="auto"/>
          <w:szCs w:val="28"/>
        </w:rPr>
        <w:t>的水土保持工程进行了项目划分。</w:t>
      </w:r>
    </w:p>
    <w:p w14:paraId="06375947">
      <w:pPr>
        <w:pStyle w:val="20"/>
        <w:rPr>
          <w:color w:val="auto"/>
        </w:rPr>
      </w:pPr>
      <w:r>
        <w:rPr>
          <w:color w:val="auto"/>
        </w:rPr>
        <w:t>表4-1  工程划分一览表</w:t>
      </w:r>
    </w:p>
    <w:tbl>
      <w:tblPr>
        <w:tblStyle w:val="14"/>
        <w:tblW w:w="5033"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600"/>
        <w:gridCol w:w="1085"/>
        <w:gridCol w:w="6134"/>
      </w:tblGrid>
      <w:tr w14:paraId="711223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5864AA3C">
            <w:pPr>
              <w:pStyle w:val="18"/>
              <w:rPr>
                <w:color w:val="auto"/>
              </w:rPr>
            </w:pPr>
            <w:r>
              <w:rPr>
                <w:color w:val="auto"/>
              </w:rPr>
              <w:t>单位工程</w:t>
            </w:r>
          </w:p>
        </w:tc>
        <w:tc>
          <w:tcPr>
            <w:tcW w:w="615" w:type="pct"/>
            <w:tcBorders>
              <w:tl2br w:val="nil"/>
              <w:tr2bl w:val="nil"/>
            </w:tcBorders>
            <w:vAlign w:val="center"/>
          </w:tcPr>
          <w:p w14:paraId="2BD6EC58">
            <w:pPr>
              <w:pStyle w:val="18"/>
              <w:rPr>
                <w:color w:val="auto"/>
              </w:rPr>
            </w:pPr>
            <w:r>
              <w:rPr>
                <w:color w:val="auto"/>
              </w:rPr>
              <w:t>分部工程</w:t>
            </w:r>
          </w:p>
        </w:tc>
        <w:tc>
          <w:tcPr>
            <w:tcW w:w="3476" w:type="pct"/>
            <w:tcBorders>
              <w:tl2br w:val="nil"/>
              <w:tr2bl w:val="nil"/>
            </w:tcBorders>
            <w:vAlign w:val="center"/>
          </w:tcPr>
          <w:p w14:paraId="585C6539">
            <w:pPr>
              <w:pStyle w:val="18"/>
              <w:rPr>
                <w:color w:val="auto"/>
              </w:rPr>
            </w:pPr>
            <w:r>
              <w:rPr>
                <w:color w:val="auto"/>
              </w:rPr>
              <w:t>单元工程划分</w:t>
            </w:r>
          </w:p>
        </w:tc>
      </w:tr>
      <w:tr w14:paraId="7AAA3B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7F4F6F16">
            <w:pPr>
              <w:pStyle w:val="18"/>
              <w:rPr>
                <w:color w:val="auto"/>
              </w:rPr>
            </w:pPr>
            <w:r>
              <w:rPr>
                <w:color w:val="auto"/>
              </w:rPr>
              <w:t>土地整治工程</w:t>
            </w:r>
          </w:p>
        </w:tc>
        <w:tc>
          <w:tcPr>
            <w:tcW w:w="615" w:type="pct"/>
            <w:tcBorders>
              <w:tl2br w:val="nil"/>
              <w:tr2bl w:val="nil"/>
            </w:tcBorders>
            <w:vAlign w:val="center"/>
          </w:tcPr>
          <w:p w14:paraId="2516968B">
            <w:pPr>
              <w:pStyle w:val="18"/>
              <w:rPr>
                <w:color w:val="auto"/>
              </w:rPr>
            </w:pPr>
            <w:r>
              <w:rPr>
                <w:rFonts w:hint="eastAsia"/>
                <w:color w:val="auto"/>
                <w:lang w:val="en-US" w:eastAsia="zh-CN"/>
              </w:rPr>
              <w:t>△</w:t>
            </w:r>
            <w:r>
              <w:rPr>
                <w:color w:val="auto"/>
              </w:rPr>
              <w:t>场地整治</w:t>
            </w:r>
          </w:p>
        </w:tc>
        <w:tc>
          <w:tcPr>
            <w:tcW w:w="3476" w:type="pct"/>
            <w:tcBorders>
              <w:tl2br w:val="nil"/>
              <w:tr2bl w:val="nil"/>
            </w:tcBorders>
            <w:vAlign w:val="center"/>
          </w:tcPr>
          <w:p w14:paraId="724C4EFA">
            <w:pPr>
              <w:pStyle w:val="18"/>
              <w:rPr>
                <w:color w:val="auto"/>
              </w:rPr>
            </w:pPr>
            <w:r>
              <w:rPr>
                <w:color w:val="auto"/>
              </w:rPr>
              <w:t>每0.1hm</w:t>
            </w:r>
            <w:r>
              <w:rPr>
                <w:color w:val="auto"/>
                <w:vertAlign w:val="superscript"/>
              </w:rPr>
              <w:t>2</w:t>
            </w:r>
            <w:r>
              <w:rPr>
                <w:color w:val="auto"/>
              </w:rPr>
              <w:t>～1hm</w:t>
            </w:r>
            <w:r>
              <w:rPr>
                <w:color w:val="auto"/>
                <w:vertAlign w:val="superscript"/>
              </w:rPr>
              <w:t>2</w:t>
            </w:r>
            <w:r>
              <w:rPr>
                <w:color w:val="auto"/>
              </w:rPr>
              <w:t>为一个单元工程，不足0.1hm</w:t>
            </w:r>
            <w:r>
              <w:rPr>
                <w:color w:val="auto"/>
                <w:vertAlign w:val="superscript"/>
              </w:rPr>
              <w:t>2</w:t>
            </w:r>
            <w:r>
              <w:rPr>
                <w:color w:val="auto"/>
              </w:rPr>
              <w:t>的可单独作为一个单元工程，大于1hm</w:t>
            </w:r>
            <w:r>
              <w:rPr>
                <w:color w:val="auto"/>
                <w:vertAlign w:val="superscript"/>
              </w:rPr>
              <w:t>2</w:t>
            </w:r>
            <w:r>
              <w:rPr>
                <w:color w:val="auto"/>
              </w:rPr>
              <w:t>的可划分为两个以上单元工程</w:t>
            </w:r>
          </w:p>
        </w:tc>
      </w:tr>
      <w:tr w14:paraId="447EB9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56A53908">
            <w:pPr>
              <w:pStyle w:val="18"/>
              <w:rPr>
                <w:color w:val="auto"/>
              </w:rPr>
            </w:pPr>
            <w:r>
              <w:rPr>
                <w:color w:val="auto"/>
              </w:rPr>
              <w:t>防洪排导工程</w:t>
            </w:r>
          </w:p>
        </w:tc>
        <w:tc>
          <w:tcPr>
            <w:tcW w:w="615" w:type="pct"/>
            <w:tcBorders>
              <w:tl2br w:val="nil"/>
              <w:tr2bl w:val="nil"/>
            </w:tcBorders>
            <w:vAlign w:val="center"/>
          </w:tcPr>
          <w:p w14:paraId="4E73ABAA">
            <w:pPr>
              <w:pStyle w:val="18"/>
              <w:rPr>
                <w:color w:val="auto"/>
              </w:rPr>
            </w:pPr>
            <w:r>
              <w:rPr>
                <w:color w:val="auto"/>
              </w:rPr>
              <w:t>排洪导流设施</w:t>
            </w:r>
          </w:p>
        </w:tc>
        <w:tc>
          <w:tcPr>
            <w:tcW w:w="3476" w:type="pct"/>
            <w:tcBorders>
              <w:tl2br w:val="nil"/>
              <w:tr2bl w:val="nil"/>
            </w:tcBorders>
            <w:vAlign w:val="center"/>
          </w:tcPr>
          <w:p w14:paraId="13B67D0A">
            <w:pPr>
              <w:pStyle w:val="18"/>
              <w:rPr>
                <w:color w:val="auto"/>
              </w:rPr>
            </w:pPr>
            <w:r>
              <w:rPr>
                <w:color w:val="auto"/>
              </w:rPr>
              <w:t>每个单元工程长50～100m，不足50m的可单独作为一个单元工程，大于100m 的可划分为两个以上单元工程</w:t>
            </w:r>
          </w:p>
        </w:tc>
      </w:tr>
      <w:tr w14:paraId="3ADF68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89" w:hRule="atLeast"/>
          <w:jc w:val="center"/>
        </w:trPr>
        <w:tc>
          <w:tcPr>
            <w:tcW w:w="907" w:type="pct"/>
            <w:vMerge w:val="restart"/>
            <w:tcBorders>
              <w:tl2br w:val="nil"/>
              <w:tr2bl w:val="nil"/>
            </w:tcBorders>
            <w:vAlign w:val="center"/>
          </w:tcPr>
          <w:p w14:paraId="1CA44C78">
            <w:pPr>
              <w:pStyle w:val="18"/>
              <w:rPr>
                <w:color w:val="auto"/>
              </w:rPr>
            </w:pPr>
            <w:r>
              <w:rPr>
                <w:color w:val="auto"/>
              </w:rPr>
              <w:t>临时防护工程</w:t>
            </w:r>
          </w:p>
        </w:tc>
        <w:tc>
          <w:tcPr>
            <w:tcW w:w="615" w:type="pct"/>
            <w:tcBorders>
              <w:tl2br w:val="nil"/>
              <w:tr2bl w:val="nil"/>
            </w:tcBorders>
            <w:vAlign w:val="center"/>
          </w:tcPr>
          <w:p w14:paraId="51CADB04">
            <w:pPr>
              <w:pStyle w:val="18"/>
              <w:rPr>
                <w:color w:val="auto"/>
              </w:rPr>
            </w:pPr>
            <w:r>
              <w:rPr>
                <w:color w:val="auto"/>
              </w:rPr>
              <w:t>覆盖</w:t>
            </w:r>
          </w:p>
        </w:tc>
        <w:tc>
          <w:tcPr>
            <w:tcW w:w="3476" w:type="pct"/>
            <w:tcBorders>
              <w:tl2br w:val="nil"/>
              <w:tr2bl w:val="nil"/>
            </w:tcBorders>
            <w:vAlign w:val="center"/>
          </w:tcPr>
          <w:p w14:paraId="6BF0F4C0">
            <w:pPr>
              <w:pStyle w:val="18"/>
              <w:rPr>
                <w:color w:val="auto"/>
              </w:rPr>
            </w:pPr>
            <w:r>
              <w:rPr>
                <w:color w:val="auto"/>
              </w:rPr>
              <w:t>每 0.1hm</w:t>
            </w:r>
            <w:r>
              <w:rPr>
                <w:color w:val="auto"/>
                <w:vertAlign w:val="superscript"/>
              </w:rPr>
              <w:t>2</w:t>
            </w:r>
            <w:r>
              <w:rPr>
                <w:color w:val="auto"/>
              </w:rPr>
              <w:t>～1 hm</w:t>
            </w:r>
            <w:r>
              <w:rPr>
                <w:color w:val="auto"/>
                <w:vertAlign w:val="superscript"/>
              </w:rPr>
              <w:t>2</w:t>
            </w:r>
            <w:r>
              <w:rPr>
                <w:color w:val="auto"/>
              </w:rPr>
              <w:t>为一个单元工程，不足0.1hm</w:t>
            </w:r>
            <w:r>
              <w:rPr>
                <w:color w:val="auto"/>
                <w:vertAlign w:val="superscript"/>
              </w:rPr>
              <w:t>2</w:t>
            </w:r>
            <w:r>
              <w:rPr>
                <w:color w:val="auto"/>
              </w:rPr>
              <w:t>的可单独作为一个单元工程，大于1 hm</w:t>
            </w:r>
            <w:r>
              <w:rPr>
                <w:color w:val="auto"/>
                <w:vertAlign w:val="superscript"/>
              </w:rPr>
              <w:t>2</w:t>
            </w:r>
            <w:r>
              <w:rPr>
                <w:color w:val="auto"/>
              </w:rPr>
              <w:t>的可划分为两个以上单元工程</w:t>
            </w:r>
          </w:p>
        </w:tc>
      </w:tr>
      <w:tr w14:paraId="5D1AC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vMerge w:val="continue"/>
            <w:tcBorders>
              <w:tl2br w:val="nil"/>
              <w:tr2bl w:val="nil"/>
            </w:tcBorders>
            <w:vAlign w:val="center"/>
          </w:tcPr>
          <w:p w14:paraId="28D7A060">
            <w:pPr>
              <w:pStyle w:val="18"/>
              <w:rPr>
                <w:color w:val="auto"/>
              </w:rPr>
            </w:pPr>
          </w:p>
        </w:tc>
        <w:tc>
          <w:tcPr>
            <w:tcW w:w="615" w:type="pct"/>
            <w:tcBorders>
              <w:tl2br w:val="nil"/>
              <w:tr2bl w:val="nil"/>
            </w:tcBorders>
            <w:vAlign w:val="center"/>
          </w:tcPr>
          <w:p w14:paraId="53C38FB0">
            <w:pPr>
              <w:pStyle w:val="18"/>
              <w:rPr>
                <w:color w:val="auto"/>
              </w:rPr>
            </w:pPr>
            <w:r>
              <w:rPr>
                <w:rFonts w:hint="eastAsia"/>
                <w:color w:val="auto"/>
                <w:lang w:val="en-US" w:eastAsia="zh-CN"/>
              </w:rPr>
              <w:t>△</w:t>
            </w:r>
            <w:r>
              <w:rPr>
                <w:color w:val="auto"/>
              </w:rPr>
              <w:t>排水</w:t>
            </w:r>
          </w:p>
        </w:tc>
        <w:tc>
          <w:tcPr>
            <w:tcW w:w="3476" w:type="pct"/>
            <w:tcBorders>
              <w:tl2br w:val="nil"/>
              <w:tr2bl w:val="nil"/>
            </w:tcBorders>
            <w:vAlign w:val="center"/>
          </w:tcPr>
          <w:p w14:paraId="79DE3312">
            <w:pPr>
              <w:pStyle w:val="18"/>
              <w:rPr>
                <w:color w:val="auto"/>
              </w:rPr>
            </w:pPr>
            <w:r>
              <w:rPr>
                <w:color w:val="auto"/>
              </w:rPr>
              <w:t>每个单元工程长50～100m，不足50m 的可单独作为一个单元工程，大于 100m 的可划分为两个以上单元工程</w:t>
            </w:r>
          </w:p>
        </w:tc>
      </w:tr>
      <w:tr w14:paraId="4BF8FB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vMerge w:val="continue"/>
            <w:tcBorders>
              <w:tl2br w:val="nil"/>
              <w:tr2bl w:val="nil"/>
            </w:tcBorders>
            <w:vAlign w:val="center"/>
          </w:tcPr>
          <w:p w14:paraId="1A08D7E7">
            <w:pPr>
              <w:pStyle w:val="18"/>
              <w:rPr>
                <w:color w:val="auto"/>
              </w:rPr>
            </w:pPr>
          </w:p>
        </w:tc>
        <w:tc>
          <w:tcPr>
            <w:tcW w:w="615" w:type="pct"/>
            <w:tcBorders>
              <w:tl2br w:val="nil"/>
              <w:tr2bl w:val="nil"/>
            </w:tcBorders>
            <w:vAlign w:val="center"/>
          </w:tcPr>
          <w:p w14:paraId="6608076E">
            <w:pPr>
              <w:pStyle w:val="18"/>
              <w:rPr>
                <w:color w:val="auto"/>
              </w:rPr>
            </w:pPr>
            <w:r>
              <w:rPr>
                <w:color w:val="auto"/>
              </w:rPr>
              <w:t>沉沙</w:t>
            </w:r>
          </w:p>
        </w:tc>
        <w:tc>
          <w:tcPr>
            <w:tcW w:w="3476" w:type="pct"/>
            <w:tcBorders>
              <w:tl2br w:val="nil"/>
              <w:tr2bl w:val="nil"/>
            </w:tcBorders>
            <w:vAlign w:val="center"/>
          </w:tcPr>
          <w:p w14:paraId="78F79A07">
            <w:pPr>
              <w:pStyle w:val="18"/>
              <w:rPr>
                <w:color w:val="auto"/>
              </w:rPr>
            </w:pPr>
            <w:r>
              <w:rPr>
                <w:color w:val="auto"/>
              </w:rPr>
              <w:t>每一个</w:t>
            </w:r>
            <w:r>
              <w:rPr>
                <w:rFonts w:hint="eastAsia"/>
                <w:color w:val="auto"/>
              </w:rPr>
              <w:t>沉沙池</w:t>
            </w:r>
            <w:r>
              <w:rPr>
                <w:color w:val="auto"/>
              </w:rPr>
              <w:t>作为一个单元工程</w:t>
            </w:r>
          </w:p>
        </w:tc>
      </w:tr>
      <w:tr w14:paraId="4902A5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45C432C0">
            <w:pPr>
              <w:pStyle w:val="18"/>
              <w:rPr>
                <w:color w:val="auto"/>
              </w:rPr>
            </w:pPr>
            <w:r>
              <w:rPr>
                <w:color w:val="auto"/>
              </w:rPr>
              <w:t>植被建设工程</w:t>
            </w:r>
          </w:p>
        </w:tc>
        <w:tc>
          <w:tcPr>
            <w:tcW w:w="615" w:type="pct"/>
            <w:tcBorders>
              <w:tl2br w:val="nil"/>
              <w:tr2bl w:val="nil"/>
            </w:tcBorders>
            <w:vAlign w:val="center"/>
          </w:tcPr>
          <w:p w14:paraId="466BC397">
            <w:pPr>
              <w:pStyle w:val="18"/>
              <w:rPr>
                <w:color w:val="auto"/>
              </w:rPr>
            </w:pPr>
            <w:r>
              <w:rPr>
                <w:rFonts w:hint="eastAsia"/>
                <w:color w:val="auto"/>
                <w:lang w:val="en-US" w:eastAsia="zh-CN"/>
              </w:rPr>
              <w:t>△</w:t>
            </w:r>
            <w:r>
              <w:rPr>
                <w:color w:val="auto"/>
              </w:rPr>
              <w:t>点片状植被</w:t>
            </w:r>
          </w:p>
        </w:tc>
        <w:tc>
          <w:tcPr>
            <w:tcW w:w="3476" w:type="pct"/>
            <w:tcBorders>
              <w:tl2br w:val="nil"/>
              <w:tr2bl w:val="nil"/>
            </w:tcBorders>
            <w:vAlign w:val="center"/>
          </w:tcPr>
          <w:p w14:paraId="768E3235">
            <w:pPr>
              <w:pStyle w:val="18"/>
              <w:rPr>
                <w:color w:val="auto"/>
              </w:rPr>
            </w:pPr>
            <w:r>
              <w:rPr>
                <w:color w:val="auto"/>
              </w:rPr>
              <w:t>以设计图班作为一个单元工程，每个单元工程面积0.1hm</w:t>
            </w:r>
            <w:r>
              <w:rPr>
                <w:color w:val="auto"/>
                <w:vertAlign w:val="superscript"/>
              </w:rPr>
              <w:t>2</w:t>
            </w:r>
            <w:r>
              <w:rPr>
                <w:color w:val="auto"/>
              </w:rPr>
              <w:t>～1hm</w:t>
            </w:r>
            <w:r>
              <w:rPr>
                <w:color w:val="auto"/>
                <w:vertAlign w:val="superscript"/>
              </w:rPr>
              <w:t>2</w:t>
            </w:r>
            <w:r>
              <w:rPr>
                <w:color w:val="auto"/>
              </w:rPr>
              <w:t>，大于1hm</w:t>
            </w:r>
            <w:r>
              <w:rPr>
                <w:color w:val="auto"/>
                <w:vertAlign w:val="superscript"/>
              </w:rPr>
              <w:t>2</w:t>
            </w:r>
            <w:r>
              <w:rPr>
                <w:color w:val="auto"/>
              </w:rPr>
              <w:t>可划分为两个以上单元工程</w:t>
            </w:r>
          </w:p>
        </w:tc>
      </w:tr>
      <w:tr w14:paraId="63887A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07" w:type="pct"/>
            <w:tcBorders>
              <w:tl2br w:val="nil"/>
              <w:tr2bl w:val="nil"/>
            </w:tcBorders>
            <w:vAlign w:val="center"/>
          </w:tcPr>
          <w:p w14:paraId="31B1A2E3">
            <w:pPr>
              <w:pStyle w:val="18"/>
              <w:rPr>
                <w:rFonts w:hint="default" w:eastAsia="仿宋_GB2312"/>
                <w:color w:val="auto"/>
                <w:lang w:val="en-US" w:eastAsia="zh-CN"/>
              </w:rPr>
            </w:pPr>
            <w:r>
              <w:rPr>
                <w:rFonts w:hint="eastAsia"/>
                <w:color w:val="auto"/>
                <w:lang w:val="en-US" w:eastAsia="zh-CN"/>
              </w:rPr>
              <w:t>降水蓄渗工程</w:t>
            </w:r>
          </w:p>
        </w:tc>
        <w:tc>
          <w:tcPr>
            <w:tcW w:w="615" w:type="pct"/>
            <w:tcBorders>
              <w:tl2br w:val="nil"/>
              <w:tr2bl w:val="nil"/>
            </w:tcBorders>
            <w:vAlign w:val="center"/>
          </w:tcPr>
          <w:p w14:paraId="7D001835">
            <w:pPr>
              <w:pStyle w:val="18"/>
              <w:rPr>
                <w:color w:val="auto"/>
              </w:rPr>
            </w:pPr>
            <w:r>
              <w:rPr>
                <w:rFonts w:hint="eastAsia"/>
                <w:color w:val="auto"/>
                <w:lang w:val="en-US" w:eastAsia="zh-CN"/>
              </w:rPr>
              <w:t>降水蓄渗</w:t>
            </w:r>
          </w:p>
        </w:tc>
        <w:tc>
          <w:tcPr>
            <w:tcW w:w="3476" w:type="pct"/>
            <w:tcBorders>
              <w:tl2br w:val="nil"/>
              <w:tr2bl w:val="nil"/>
            </w:tcBorders>
            <w:vAlign w:val="center"/>
          </w:tcPr>
          <w:p w14:paraId="1D30D0F5">
            <w:pPr>
              <w:pStyle w:val="18"/>
              <w:rPr>
                <w:color w:val="auto"/>
              </w:rPr>
            </w:pPr>
            <w:r>
              <w:rPr>
                <w:color w:val="auto"/>
              </w:rPr>
              <w:t>每个单元工程</w:t>
            </w:r>
            <w:r>
              <w:rPr>
                <w:rFonts w:hint="eastAsia"/>
                <w:color w:val="auto"/>
                <w:lang w:val="en-US" w:eastAsia="zh-CN"/>
              </w:rPr>
              <w:t>30</w:t>
            </w:r>
            <w:r>
              <w:rPr>
                <w:color w:val="auto"/>
              </w:rPr>
              <w:t>～</w:t>
            </w:r>
            <w:r>
              <w:rPr>
                <w:rFonts w:hint="eastAsia"/>
                <w:color w:val="auto"/>
                <w:lang w:val="en-US" w:eastAsia="zh-CN"/>
              </w:rPr>
              <w:t>50</w:t>
            </w:r>
            <w:r>
              <w:rPr>
                <w:color w:val="auto"/>
              </w:rPr>
              <w:t>m</w:t>
            </w:r>
            <w:r>
              <w:rPr>
                <w:rFonts w:hint="eastAsia"/>
                <w:color w:val="auto"/>
                <w:vertAlign w:val="superscript"/>
                <w:lang w:val="en-US" w:eastAsia="zh-CN"/>
              </w:rPr>
              <w:t>3</w:t>
            </w:r>
            <w:r>
              <w:rPr>
                <w:color w:val="auto"/>
              </w:rPr>
              <w:t>，不足</w:t>
            </w:r>
            <w:r>
              <w:rPr>
                <w:rFonts w:hint="eastAsia"/>
                <w:color w:val="auto"/>
                <w:lang w:val="en-US" w:eastAsia="zh-CN"/>
              </w:rPr>
              <w:t>30</w:t>
            </w:r>
            <w:r>
              <w:rPr>
                <w:color w:val="auto"/>
              </w:rPr>
              <w:t>m</w:t>
            </w:r>
            <w:r>
              <w:rPr>
                <w:rFonts w:hint="eastAsia"/>
                <w:color w:val="auto"/>
                <w:vertAlign w:val="superscript"/>
                <w:lang w:val="en-US" w:eastAsia="zh-CN"/>
              </w:rPr>
              <w:t>3</w:t>
            </w:r>
            <w:r>
              <w:rPr>
                <w:color w:val="auto"/>
              </w:rPr>
              <w:t>的可单独作为一个单元工程，大于</w:t>
            </w:r>
            <w:r>
              <w:rPr>
                <w:rFonts w:hint="eastAsia"/>
                <w:color w:val="auto"/>
                <w:lang w:val="en-US" w:eastAsia="zh-CN"/>
              </w:rPr>
              <w:t>50</w:t>
            </w:r>
            <w:r>
              <w:rPr>
                <w:color w:val="auto"/>
              </w:rPr>
              <w:t>m</w:t>
            </w:r>
            <w:r>
              <w:rPr>
                <w:rFonts w:hint="eastAsia"/>
                <w:color w:val="auto"/>
                <w:vertAlign w:val="superscript"/>
                <w:lang w:val="en-US" w:eastAsia="zh-CN"/>
              </w:rPr>
              <w:t>3</w:t>
            </w:r>
            <w:r>
              <w:rPr>
                <w:color w:val="auto"/>
              </w:rPr>
              <w:t xml:space="preserve"> 的可划分为两个以上单元工程</w:t>
            </w:r>
          </w:p>
        </w:tc>
      </w:tr>
    </w:tbl>
    <w:p w14:paraId="50FB4002">
      <w:pPr>
        <w:pStyle w:val="4"/>
        <w:widowControl/>
        <w:rPr>
          <w:rFonts w:eastAsia="仿宋"/>
          <w:color w:val="auto"/>
          <w:kern w:val="0"/>
        </w:rPr>
      </w:pPr>
      <w:r>
        <w:rPr>
          <w:rFonts w:eastAsia="仿宋"/>
          <w:color w:val="auto"/>
          <w:kern w:val="0"/>
        </w:rPr>
        <w:t>4.2.2各防治区工程质量评定</w:t>
      </w:r>
      <w:bookmarkEnd w:id="82"/>
      <w:bookmarkEnd w:id="83"/>
    </w:p>
    <w:p w14:paraId="76A8B4DB">
      <w:pPr>
        <w:pStyle w:val="5"/>
        <w:widowControl/>
        <w:rPr>
          <w:rFonts w:eastAsia="仿宋"/>
          <w:color w:val="auto"/>
          <w:kern w:val="0"/>
        </w:rPr>
      </w:pPr>
      <w:r>
        <w:rPr>
          <w:rFonts w:eastAsia="仿宋"/>
          <w:color w:val="auto"/>
          <w:kern w:val="0"/>
        </w:rPr>
        <w:t>4.2.2.1监理单位工程质量检验方法</w:t>
      </w:r>
    </w:p>
    <w:p w14:paraId="152E76B7">
      <w:pPr>
        <w:ind w:firstLine="560"/>
        <w:rPr>
          <w:rFonts w:eastAsia="仿宋"/>
          <w:color w:val="auto"/>
          <w:szCs w:val="28"/>
        </w:rPr>
      </w:pPr>
      <w:r>
        <w:rPr>
          <w:rFonts w:eastAsia="仿宋"/>
          <w:color w:val="auto"/>
          <w:szCs w:val="28"/>
        </w:rPr>
        <w:t>（1）土沟</w:t>
      </w:r>
    </w:p>
    <w:p w14:paraId="738EF604">
      <w:pPr>
        <w:tabs>
          <w:tab w:val="left" w:pos="1356"/>
        </w:tabs>
        <w:ind w:firstLine="560"/>
        <w:jc w:val="left"/>
        <w:rPr>
          <w:rFonts w:eastAsia="仿宋"/>
          <w:color w:val="auto"/>
          <w:szCs w:val="28"/>
        </w:rPr>
      </w:pPr>
      <w:r>
        <w:rPr>
          <w:rFonts w:eastAsia="仿宋"/>
          <w:color w:val="auto"/>
          <w:szCs w:val="28"/>
        </w:rPr>
        <w:t>1）基本要求</w:t>
      </w:r>
    </w:p>
    <w:p w14:paraId="76AEA320">
      <w:pPr>
        <w:ind w:firstLine="560"/>
        <w:rPr>
          <w:rFonts w:eastAsia="仿宋"/>
          <w:color w:val="auto"/>
          <w:szCs w:val="28"/>
        </w:rPr>
      </w:pPr>
      <w:r>
        <w:rPr>
          <w:rFonts w:eastAsia="仿宋"/>
          <w:color w:val="auto"/>
          <w:szCs w:val="28"/>
        </w:rPr>
        <w:t>①土沟边坡必须平整、坚实、稳定，严禁贴坡。</w:t>
      </w:r>
    </w:p>
    <w:p w14:paraId="400AEB9C">
      <w:pPr>
        <w:ind w:firstLine="560"/>
        <w:rPr>
          <w:rFonts w:eastAsia="仿宋"/>
          <w:color w:val="auto"/>
          <w:szCs w:val="28"/>
        </w:rPr>
      </w:pPr>
      <w:r>
        <w:rPr>
          <w:rFonts w:eastAsia="仿宋"/>
          <w:color w:val="auto"/>
          <w:szCs w:val="28"/>
        </w:rPr>
        <w:t>②沟底应平顺整齐，不得有松散土和其他杂物，排水畅通。</w:t>
      </w:r>
    </w:p>
    <w:p w14:paraId="023598F6">
      <w:pPr>
        <w:tabs>
          <w:tab w:val="left" w:pos="1356"/>
        </w:tabs>
        <w:ind w:firstLine="560"/>
        <w:jc w:val="left"/>
        <w:rPr>
          <w:rFonts w:eastAsia="仿宋"/>
          <w:color w:val="auto"/>
          <w:szCs w:val="28"/>
        </w:rPr>
      </w:pPr>
      <w:r>
        <w:rPr>
          <w:rFonts w:eastAsia="仿宋"/>
          <w:color w:val="auto"/>
          <w:szCs w:val="28"/>
        </w:rPr>
        <w:t>2）实测项目</w:t>
      </w:r>
    </w:p>
    <w:p w14:paraId="724AA960">
      <w:pPr>
        <w:ind w:firstLine="560"/>
        <w:rPr>
          <w:rFonts w:eastAsia="仿宋"/>
          <w:color w:val="auto"/>
          <w:szCs w:val="28"/>
        </w:rPr>
      </w:pPr>
      <w:r>
        <w:rPr>
          <w:rFonts w:eastAsia="仿宋"/>
          <w:color w:val="auto"/>
          <w:szCs w:val="28"/>
        </w:rPr>
        <w:t>土沟检查项目见表4-2。</w:t>
      </w:r>
    </w:p>
    <w:p w14:paraId="79D6D812">
      <w:pPr>
        <w:pStyle w:val="20"/>
        <w:rPr>
          <w:color w:val="auto"/>
        </w:rPr>
      </w:pPr>
      <w:r>
        <w:rPr>
          <w:color w:val="auto"/>
        </w:rPr>
        <w:t>表4-2土沟检查项目表</w:t>
      </w:r>
    </w:p>
    <w:tbl>
      <w:tblPr>
        <w:tblStyle w:val="14"/>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45"/>
        <w:gridCol w:w="1992"/>
        <w:gridCol w:w="2055"/>
        <w:gridCol w:w="3403"/>
        <w:gridCol w:w="662"/>
      </w:tblGrid>
      <w:tr w14:paraId="6F0161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093BD16C">
            <w:pPr>
              <w:pStyle w:val="18"/>
              <w:rPr>
                <w:color w:val="auto"/>
              </w:rPr>
            </w:pPr>
            <w:r>
              <w:rPr>
                <w:color w:val="auto"/>
              </w:rPr>
              <w:t>序号</w:t>
            </w:r>
          </w:p>
        </w:tc>
        <w:tc>
          <w:tcPr>
            <w:tcW w:w="1137" w:type="pct"/>
            <w:tcBorders>
              <w:tl2br w:val="nil"/>
              <w:tr2bl w:val="nil"/>
            </w:tcBorders>
            <w:vAlign w:val="center"/>
          </w:tcPr>
          <w:p w14:paraId="4700FF50">
            <w:pPr>
              <w:pStyle w:val="18"/>
              <w:rPr>
                <w:color w:val="auto"/>
              </w:rPr>
            </w:pPr>
            <w:r>
              <w:rPr>
                <w:color w:val="auto"/>
              </w:rPr>
              <w:t>检查项目</w:t>
            </w:r>
          </w:p>
        </w:tc>
        <w:tc>
          <w:tcPr>
            <w:tcW w:w="1173" w:type="pct"/>
            <w:tcBorders>
              <w:tl2br w:val="nil"/>
              <w:tr2bl w:val="nil"/>
            </w:tcBorders>
            <w:vAlign w:val="center"/>
          </w:tcPr>
          <w:p w14:paraId="2ABFF975">
            <w:pPr>
              <w:pStyle w:val="18"/>
              <w:rPr>
                <w:color w:val="auto"/>
              </w:rPr>
            </w:pPr>
            <w:r>
              <w:rPr>
                <w:color w:val="auto"/>
              </w:rPr>
              <w:t>规定值或允许偏差</w:t>
            </w:r>
          </w:p>
        </w:tc>
        <w:tc>
          <w:tcPr>
            <w:tcW w:w="1942" w:type="pct"/>
            <w:tcBorders>
              <w:tl2br w:val="nil"/>
              <w:tr2bl w:val="nil"/>
            </w:tcBorders>
            <w:vAlign w:val="center"/>
          </w:tcPr>
          <w:p w14:paraId="2A97849F">
            <w:pPr>
              <w:pStyle w:val="18"/>
              <w:rPr>
                <w:color w:val="auto"/>
              </w:rPr>
            </w:pPr>
            <w:r>
              <w:rPr>
                <w:color w:val="auto"/>
              </w:rPr>
              <w:t>检查方法和频率</w:t>
            </w:r>
          </w:p>
        </w:tc>
        <w:tc>
          <w:tcPr>
            <w:tcW w:w="378" w:type="pct"/>
            <w:tcBorders>
              <w:tl2br w:val="nil"/>
              <w:tr2bl w:val="nil"/>
            </w:tcBorders>
            <w:vAlign w:val="center"/>
          </w:tcPr>
          <w:p w14:paraId="228ABEB2">
            <w:pPr>
              <w:pStyle w:val="18"/>
              <w:rPr>
                <w:color w:val="auto"/>
              </w:rPr>
            </w:pPr>
            <w:r>
              <w:rPr>
                <w:color w:val="auto"/>
              </w:rPr>
              <w:t>权值</w:t>
            </w:r>
          </w:p>
        </w:tc>
      </w:tr>
      <w:tr w14:paraId="1122DE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4855EBF1">
            <w:pPr>
              <w:pStyle w:val="18"/>
              <w:rPr>
                <w:color w:val="auto"/>
              </w:rPr>
            </w:pPr>
            <w:r>
              <w:rPr>
                <w:color w:val="auto"/>
              </w:rPr>
              <w:t>1</w:t>
            </w:r>
          </w:p>
        </w:tc>
        <w:tc>
          <w:tcPr>
            <w:tcW w:w="1137" w:type="pct"/>
            <w:tcBorders>
              <w:tl2br w:val="nil"/>
              <w:tr2bl w:val="nil"/>
            </w:tcBorders>
            <w:vAlign w:val="center"/>
          </w:tcPr>
          <w:p w14:paraId="27153D3A">
            <w:pPr>
              <w:pStyle w:val="18"/>
              <w:rPr>
                <w:color w:val="auto"/>
              </w:rPr>
            </w:pPr>
            <w:r>
              <w:rPr>
                <w:color w:val="auto"/>
              </w:rPr>
              <w:t xml:space="preserve"> 沟底高程（mm）</w:t>
            </w:r>
          </w:p>
        </w:tc>
        <w:tc>
          <w:tcPr>
            <w:tcW w:w="1173" w:type="pct"/>
            <w:tcBorders>
              <w:tl2br w:val="nil"/>
              <w:tr2bl w:val="nil"/>
            </w:tcBorders>
            <w:vAlign w:val="center"/>
          </w:tcPr>
          <w:p w14:paraId="5158F829">
            <w:pPr>
              <w:pStyle w:val="18"/>
              <w:rPr>
                <w:color w:val="auto"/>
              </w:rPr>
            </w:pPr>
            <w:r>
              <w:rPr>
                <w:color w:val="auto"/>
              </w:rPr>
              <w:t>0</w:t>
            </w:r>
            <w:r>
              <w:rPr>
                <w:rFonts w:hint="eastAsia"/>
                <w:color w:val="auto"/>
                <w:lang w:eastAsia="zh-CN"/>
              </w:rPr>
              <w:t>,</w:t>
            </w:r>
            <w:r>
              <w:rPr>
                <w:color w:val="auto"/>
              </w:rPr>
              <w:t>-30</w:t>
            </w:r>
          </w:p>
        </w:tc>
        <w:tc>
          <w:tcPr>
            <w:tcW w:w="1942" w:type="pct"/>
            <w:tcBorders>
              <w:tl2br w:val="nil"/>
              <w:tr2bl w:val="nil"/>
            </w:tcBorders>
            <w:vAlign w:val="center"/>
          </w:tcPr>
          <w:p w14:paraId="60EA3EA9">
            <w:pPr>
              <w:pStyle w:val="18"/>
              <w:rPr>
                <w:color w:val="auto"/>
              </w:rPr>
            </w:pPr>
            <w:r>
              <w:rPr>
                <w:color w:val="auto"/>
              </w:rPr>
              <w:t>水准仪：每200m测4处</w:t>
            </w:r>
          </w:p>
        </w:tc>
        <w:tc>
          <w:tcPr>
            <w:tcW w:w="378" w:type="pct"/>
            <w:tcBorders>
              <w:tl2br w:val="nil"/>
              <w:tr2bl w:val="nil"/>
            </w:tcBorders>
            <w:vAlign w:val="center"/>
          </w:tcPr>
          <w:p w14:paraId="2803146D">
            <w:pPr>
              <w:pStyle w:val="18"/>
              <w:rPr>
                <w:color w:val="auto"/>
              </w:rPr>
            </w:pPr>
            <w:r>
              <w:rPr>
                <w:color w:val="auto"/>
              </w:rPr>
              <w:t>3</w:t>
            </w:r>
          </w:p>
        </w:tc>
      </w:tr>
      <w:tr w14:paraId="0CC0D0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4E5CD078">
            <w:pPr>
              <w:pStyle w:val="18"/>
              <w:rPr>
                <w:color w:val="auto"/>
              </w:rPr>
            </w:pPr>
            <w:r>
              <w:rPr>
                <w:color w:val="auto"/>
              </w:rPr>
              <w:t>2</w:t>
            </w:r>
          </w:p>
        </w:tc>
        <w:tc>
          <w:tcPr>
            <w:tcW w:w="1137" w:type="pct"/>
            <w:tcBorders>
              <w:tl2br w:val="nil"/>
              <w:tr2bl w:val="nil"/>
            </w:tcBorders>
            <w:vAlign w:val="center"/>
          </w:tcPr>
          <w:p w14:paraId="558F4AE0">
            <w:pPr>
              <w:pStyle w:val="18"/>
              <w:rPr>
                <w:color w:val="auto"/>
              </w:rPr>
            </w:pPr>
            <w:r>
              <w:rPr>
                <w:color w:val="auto"/>
              </w:rPr>
              <w:t xml:space="preserve"> 断面尺寸（mm）</w:t>
            </w:r>
          </w:p>
        </w:tc>
        <w:tc>
          <w:tcPr>
            <w:tcW w:w="1173" w:type="pct"/>
            <w:tcBorders>
              <w:tl2br w:val="nil"/>
              <w:tr2bl w:val="nil"/>
            </w:tcBorders>
            <w:vAlign w:val="center"/>
          </w:tcPr>
          <w:p w14:paraId="5A77C167">
            <w:pPr>
              <w:pStyle w:val="18"/>
              <w:rPr>
                <w:color w:val="auto"/>
              </w:rPr>
            </w:pPr>
            <w:r>
              <w:rPr>
                <w:color w:val="auto"/>
              </w:rPr>
              <w:t>不小于设计</w:t>
            </w:r>
          </w:p>
        </w:tc>
        <w:tc>
          <w:tcPr>
            <w:tcW w:w="1942" w:type="pct"/>
            <w:tcBorders>
              <w:tl2br w:val="nil"/>
              <w:tr2bl w:val="nil"/>
            </w:tcBorders>
            <w:vAlign w:val="center"/>
          </w:tcPr>
          <w:p w14:paraId="09F48299">
            <w:pPr>
              <w:pStyle w:val="18"/>
              <w:rPr>
                <w:color w:val="auto"/>
              </w:rPr>
            </w:pPr>
            <w:r>
              <w:rPr>
                <w:color w:val="auto"/>
              </w:rPr>
              <w:t>尺量：每200m测2处</w:t>
            </w:r>
          </w:p>
        </w:tc>
        <w:tc>
          <w:tcPr>
            <w:tcW w:w="378" w:type="pct"/>
            <w:tcBorders>
              <w:tl2br w:val="nil"/>
              <w:tr2bl w:val="nil"/>
            </w:tcBorders>
            <w:vAlign w:val="center"/>
          </w:tcPr>
          <w:p w14:paraId="214D0965">
            <w:pPr>
              <w:pStyle w:val="18"/>
              <w:rPr>
                <w:color w:val="auto"/>
              </w:rPr>
            </w:pPr>
            <w:r>
              <w:rPr>
                <w:color w:val="auto"/>
              </w:rPr>
              <w:t>3</w:t>
            </w:r>
          </w:p>
        </w:tc>
      </w:tr>
      <w:tr w14:paraId="63CB2A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68E2CD59">
            <w:pPr>
              <w:pStyle w:val="18"/>
              <w:rPr>
                <w:color w:val="auto"/>
              </w:rPr>
            </w:pPr>
            <w:r>
              <w:rPr>
                <w:color w:val="auto"/>
              </w:rPr>
              <w:t>3</w:t>
            </w:r>
          </w:p>
        </w:tc>
        <w:tc>
          <w:tcPr>
            <w:tcW w:w="1137" w:type="pct"/>
            <w:tcBorders>
              <w:tl2br w:val="nil"/>
              <w:tr2bl w:val="nil"/>
            </w:tcBorders>
            <w:vAlign w:val="center"/>
          </w:tcPr>
          <w:p w14:paraId="7895AA29">
            <w:pPr>
              <w:pStyle w:val="18"/>
              <w:rPr>
                <w:color w:val="auto"/>
              </w:rPr>
            </w:pPr>
            <w:r>
              <w:rPr>
                <w:color w:val="auto"/>
              </w:rPr>
              <w:t>边坡坡度</w:t>
            </w:r>
          </w:p>
        </w:tc>
        <w:tc>
          <w:tcPr>
            <w:tcW w:w="1173" w:type="pct"/>
            <w:tcBorders>
              <w:tl2br w:val="nil"/>
              <w:tr2bl w:val="nil"/>
            </w:tcBorders>
            <w:vAlign w:val="center"/>
          </w:tcPr>
          <w:p w14:paraId="4D9233C6">
            <w:pPr>
              <w:pStyle w:val="18"/>
              <w:rPr>
                <w:color w:val="auto"/>
              </w:rPr>
            </w:pPr>
            <w:r>
              <w:rPr>
                <w:color w:val="auto"/>
              </w:rPr>
              <w:t>不陡于设计</w:t>
            </w:r>
          </w:p>
        </w:tc>
        <w:tc>
          <w:tcPr>
            <w:tcW w:w="1942" w:type="pct"/>
            <w:tcBorders>
              <w:tl2br w:val="nil"/>
              <w:tr2bl w:val="nil"/>
            </w:tcBorders>
            <w:vAlign w:val="center"/>
          </w:tcPr>
          <w:p w14:paraId="1C255D90">
            <w:pPr>
              <w:pStyle w:val="18"/>
              <w:rPr>
                <w:color w:val="auto"/>
              </w:rPr>
            </w:pPr>
            <w:r>
              <w:rPr>
                <w:color w:val="auto"/>
              </w:rPr>
              <w:t>尺量：每200m测2处</w:t>
            </w:r>
          </w:p>
        </w:tc>
        <w:tc>
          <w:tcPr>
            <w:tcW w:w="378" w:type="pct"/>
            <w:tcBorders>
              <w:tl2br w:val="nil"/>
              <w:tr2bl w:val="nil"/>
            </w:tcBorders>
            <w:vAlign w:val="center"/>
          </w:tcPr>
          <w:p w14:paraId="09D1506A">
            <w:pPr>
              <w:pStyle w:val="18"/>
              <w:rPr>
                <w:color w:val="auto"/>
              </w:rPr>
            </w:pPr>
            <w:r>
              <w:rPr>
                <w:color w:val="auto"/>
              </w:rPr>
              <w:t>2</w:t>
            </w:r>
          </w:p>
        </w:tc>
      </w:tr>
      <w:tr w14:paraId="191C4A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8" w:type="pct"/>
            <w:tcBorders>
              <w:tl2br w:val="nil"/>
              <w:tr2bl w:val="nil"/>
            </w:tcBorders>
            <w:vAlign w:val="center"/>
          </w:tcPr>
          <w:p w14:paraId="6D6ECDC8">
            <w:pPr>
              <w:pStyle w:val="18"/>
              <w:rPr>
                <w:color w:val="auto"/>
              </w:rPr>
            </w:pPr>
            <w:r>
              <w:rPr>
                <w:color w:val="auto"/>
              </w:rPr>
              <w:t>4</w:t>
            </w:r>
          </w:p>
        </w:tc>
        <w:tc>
          <w:tcPr>
            <w:tcW w:w="1137" w:type="pct"/>
            <w:tcBorders>
              <w:tl2br w:val="nil"/>
              <w:tr2bl w:val="nil"/>
            </w:tcBorders>
            <w:vAlign w:val="center"/>
          </w:tcPr>
          <w:p w14:paraId="004CCD8E">
            <w:pPr>
              <w:pStyle w:val="18"/>
              <w:rPr>
                <w:color w:val="auto"/>
              </w:rPr>
            </w:pPr>
            <w:r>
              <w:rPr>
                <w:color w:val="auto"/>
              </w:rPr>
              <w:t xml:space="preserve"> 边棱直顺度（mm）</w:t>
            </w:r>
          </w:p>
        </w:tc>
        <w:tc>
          <w:tcPr>
            <w:tcW w:w="1173" w:type="pct"/>
            <w:tcBorders>
              <w:tl2br w:val="nil"/>
              <w:tr2bl w:val="nil"/>
            </w:tcBorders>
            <w:vAlign w:val="center"/>
          </w:tcPr>
          <w:p w14:paraId="3E950564">
            <w:pPr>
              <w:pStyle w:val="18"/>
              <w:rPr>
                <w:color w:val="auto"/>
              </w:rPr>
            </w:pPr>
          </w:p>
        </w:tc>
        <w:tc>
          <w:tcPr>
            <w:tcW w:w="1942" w:type="pct"/>
            <w:tcBorders>
              <w:tl2br w:val="nil"/>
              <w:tr2bl w:val="nil"/>
            </w:tcBorders>
            <w:vAlign w:val="center"/>
          </w:tcPr>
          <w:p w14:paraId="44B3CCE7">
            <w:pPr>
              <w:pStyle w:val="18"/>
              <w:rPr>
                <w:color w:val="auto"/>
              </w:rPr>
            </w:pPr>
            <w:r>
              <w:rPr>
                <w:color w:val="auto"/>
              </w:rPr>
              <w:t>尺量：20m拉线，每200m测2处</w:t>
            </w:r>
          </w:p>
        </w:tc>
        <w:tc>
          <w:tcPr>
            <w:tcW w:w="378" w:type="pct"/>
            <w:tcBorders>
              <w:tl2br w:val="nil"/>
              <w:tr2bl w:val="nil"/>
            </w:tcBorders>
            <w:vAlign w:val="center"/>
          </w:tcPr>
          <w:p w14:paraId="6F0483D4">
            <w:pPr>
              <w:pStyle w:val="18"/>
              <w:rPr>
                <w:color w:val="auto"/>
              </w:rPr>
            </w:pPr>
            <w:r>
              <w:rPr>
                <w:color w:val="auto"/>
              </w:rPr>
              <w:t>2</w:t>
            </w:r>
          </w:p>
        </w:tc>
      </w:tr>
    </w:tbl>
    <w:p w14:paraId="6D32A1CF">
      <w:pPr>
        <w:numPr>
          <w:ilvl w:val="0"/>
          <w:numId w:val="2"/>
        </w:numPr>
        <w:ind w:firstLine="560"/>
        <w:rPr>
          <w:rFonts w:eastAsia="仿宋"/>
          <w:color w:val="auto"/>
          <w:szCs w:val="28"/>
        </w:rPr>
      </w:pPr>
      <w:r>
        <w:rPr>
          <w:rFonts w:eastAsia="仿宋"/>
          <w:color w:val="auto"/>
          <w:szCs w:val="28"/>
        </w:rPr>
        <w:t>外观鉴定</w:t>
      </w:r>
    </w:p>
    <w:p w14:paraId="64123105">
      <w:pPr>
        <w:tabs>
          <w:tab w:val="left" w:pos="8280"/>
        </w:tabs>
        <w:ind w:firstLine="560"/>
        <w:rPr>
          <w:rFonts w:eastAsia="仿宋"/>
          <w:color w:val="auto"/>
          <w:szCs w:val="28"/>
        </w:rPr>
      </w:pPr>
      <w:r>
        <w:rPr>
          <w:rFonts w:eastAsia="仿宋"/>
          <w:color w:val="auto"/>
          <w:szCs w:val="28"/>
        </w:rPr>
        <w:t>沟底无明显凹凸不平和阻水现象。不符合要求时，每处减 1~2 分。</w:t>
      </w:r>
    </w:p>
    <w:p w14:paraId="0599CCEB">
      <w:pPr>
        <w:tabs>
          <w:tab w:val="left" w:pos="8280"/>
        </w:tabs>
        <w:spacing w:line="560" w:lineRule="exact"/>
        <w:ind w:firstLine="560"/>
        <w:rPr>
          <w:rFonts w:eastAsia="仿宋"/>
          <w:color w:val="auto"/>
          <w:szCs w:val="28"/>
        </w:rPr>
      </w:pPr>
      <w:r>
        <w:rPr>
          <w:rFonts w:eastAsia="仿宋"/>
          <w:color w:val="auto"/>
          <w:szCs w:val="28"/>
        </w:rPr>
        <w:t>（2）浆砌排水沟</w:t>
      </w:r>
    </w:p>
    <w:p w14:paraId="40F06C33">
      <w:pPr>
        <w:tabs>
          <w:tab w:val="left" w:pos="8280"/>
        </w:tabs>
        <w:spacing w:line="560" w:lineRule="exact"/>
        <w:ind w:firstLine="560"/>
        <w:rPr>
          <w:rFonts w:eastAsia="仿宋"/>
          <w:color w:val="auto"/>
          <w:szCs w:val="28"/>
        </w:rPr>
      </w:pPr>
      <w:r>
        <w:rPr>
          <w:rFonts w:eastAsia="仿宋"/>
          <w:color w:val="auto"/>
          <w:szCs w:val="28"/>
        </w:rPr>
        <w:t>1）基本要求</w:t>
      </w:r>
    </w:p>
    <w:p w14:paraId="147C17E7">
      <w:pPr>
        <w:tabs>
          <w:tab w:val="left" w:pos="8280"/>
        </w:tabs>
        <w:spacing w:line="560" w:lineRule="exact"/>
        <w:ind w:firstLine="560"/>
        <w:rPr>
          <w:rFonts w:eastAsia="仿宋"/>
          <w:color w:val="auto"/>
          <w:szCs w:val="28"/>
        </w:rPr>
      </w:pPr>
      <w:r>
        <w:rPr>
          <w:rFonts w:eastAsia="仿宋"/>
          <w:color w:val="auto"/>
          <w:szCs w:val="28"/>
        </w:rPr>
        <w:t>①砌体砂浆配合比准确，砌缝内砂浆均匀饱满，勾缝密实。</w:t>
      </w:r>
    </w:p>
    <w:p w14:paraId="0FA86AAC">
      <w:pPr>
        <w:tabs>
          <w:tab w:val="left" w:pos="8280"/>
        </w:tabs>
        <w:spacing w:line="560" w:lineRule="exact"/>
        <w:ind w:firstLine="560"/>
        <w:rPr>
          <w:rFonts w:eastAsia="仿宋"/>
          <w:color w:val="auto"/>
          <w:szCs w:val="28"/>
        </w:rPr>
      </w:pPr>
      <w:r>
        <w:rPr>
          <w:rFonts w:eastAsia="仿宋"/>
          <w:color w:val="auto"/>
          <w:szCs w:val="28"/>
        </w:rPr>
        <w:t>②浆砌片（块）石、混凝土预制块的质量和规格应符合设计要求。</w:t>
      </w:r>
    </w:p>
    <w:p w14:paraId="6CC3C79E">
      <w:pPr>
        <w:tabs>
          <w:tab w:val="left" w:pos="8280"/>
        </w:tabs>
        <w:spacing w:line="560" w:lineRule="exact"/>
        <w:ind w:firstLine="560"/>
        <w:rPr>
          <w:rFonts w:eastAsia="仿宋"/>
          <w:color w:val="auto"/>
          <w:szCs w:val="28"/>
        </w:rPr>
      </w:pPr>
      <w:r>
        <w:rPr>
          <w:rFonts w:eastAsia="仿宋"/>
          <w:color w:val="auto"/>
          <w:szCs w:val="28"/>
        </w:rPr>
        <w:t>③基础</w:t>
      </w:r>
      <w:r>
        <w:rPr>
          <w:rFonts w:hint="eastAsia" w:eastAsia="仿宋"/>
          <w:color w:val="auto"/>
          <w:szCs w:val="28"/>
          <w:lang w:eastAsia="zh-CN"/>
        </w:rPr>
        <w:t>伸缩</w:t>
      </w:r>
      <w:r>
        <w:rPr>
          <w:rFonts w:eastAsia="仿宋"/>
          <w:color w:val="auto"/>
          <w:szCs w:val="28"/>
        </w:rPr>
        <w:t>缝应与墙</w:t>
      </w:r>
      <w:r>
        <w:rPr>
          <w:rFonts w:hint="eastAsia" w:eastAsia="仿宋"/>
          <w:color w:val="auto"/>
          <w:szCs w:val="28"/>
          <w:lang w:eastAsia="zh-CN"/>
        </w:rPr>
        <w:t>伸缩缝</w:t>
      </w:r>
      <w:r>
        <w:rPr>
          <w:rFonts w:eastAsia="仿宋"/>
          <w:color w:val="auto"/>
          <w:szCs w:val="28"/>
        </w:rPr>
        <w:t>对齐。</w:t>
      </w:r>
    </w:p>
    <w:p w14:paraId="44278FCF">
      <w:pPr>
        <w:tabs>
          <w:tab w:val="left" w:pos="8280"/>
        </w:tabs>
        <w:spacing w:line="560" w:lineRule="exact"/>
        <w:ind w:firstLine="560"/>
        <w:rPr>
          <w:rFonts w:eastAsia="仿宋"/>
          <w:color w:val="auto"/>
          <w:szCs w:val="28"/>
        </w:rPr>
      </w:pPr>
      <w:r>
        <w:rPr>
          <w:rFonts w:eastAsia="仿宋"/>
          <w:color w:val="auto"/>
          <w:szCs w:val="28"/>
        </w:rPr>
        <w:t>④砌体抹面应平整、压光、直顺，不得有裂缝、空鼓现象。</w:t>
      </w:r>
    </w:p>
    <w:p w14:paraId="4DDC68AD">
      <w:pPr>
        <w:tabs>
          <w:tab w:val="left" w:pos="8280"/>
        </w:tabs>
        <w:spacing w:line="560" w:lineRule="exact"/>
        <w:ind w:firstLine="560"/>
        <w:rPr>
          <w:rFonts w:eastAsia="仿宋"/>
          <w:color w:val="auto"/>
          <w:szCs w:val="28"/>
        </w:rPr>
      </w:pPr>
      <w:r>
        <w:rPr>
          <w:rFonts w:eastAsia="仿宋"/>
          <w:color w:val="auto"/>
          <w:szCs w:val="28"/>
        </w:rPr>
        <w:t>2）实测项目</w:t>
      </w:r>
    </w:p>
    <w:p w14:paraId="5B31EFB4">
      <w:pPr>
        <w:tabs>
          <w:tab w:val="left" w:pos="8280"/>
        </w:tabs>
        <w:spacing w:line="560" w:lineRule="exact"/>
        <w:ind w:firstLine="560"/>
        <w:rPr>
          <w:rFonts w:eastAsia="仿宋"/>
          <w:color w:val="auto"/>
          <w:szCs w:val="28"/>
        </w:rPr>
      </w:pPr>
      <w:r>
        <w:rPr>
          <w:rFonts w:eastAsia="仿宋"/>
          <w:color w:val="auto"/>
          <w:szCs w:val="28"/>
        </w:rPr>
        <w:t>浆砌排水沟检查项目见表 4-3</w:t>
      </w:r>
    </w:p>
    <w:p w14:paraId="407C235C">
      <w:pPr>
        <w:pStyle w:val="20"/>
        <w:rPr>
          <w:color w:val="auto"/>
        </w:rPr>
      </w:pPr>
      <w:r>
        <w:rPr>
          <w:color w:val="auto"/>
        </w:rPr>
        <w:t>表4-3浆砌排水沟检查项目表</w:t>
      </w:r>
    </w:p>
    <w:tbl>
      <w:tblPr>
        <w:tblStyle w:val="14"/>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47"/>
        <w:gridCol w:w="1926"/>
        <w:gridCol w:w="2129"/>
        <w:gridCol w:w="3407"/>
        <w:gridCol w:w="648"/>
      </w:tblGrid>
      <w:tr w14:paraId="6D03E6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6862F211">
            <w:pPr>
              <w:pStyle w:val="18"/>
              <w:rPr>
                <w:color w:val="auto"/>
              </w:rPr>
            </w:pPr>
            <w:r>
              <w:rPr>
                <w:color w:val="auto"/>
              </w:rPr>
              <w:t>序号</w:t>
            </w:r>
          </w:p>
        </w:tc>
        <w:tc>
          <w:tcPr>
            <w:tcW w:w="1099" w:type="pct"/>
            <w:tcBorders>
              <w:tl2br w:val="nil"/>
              <w:tr2bl w:val="nil"/>
            </w:tcBorders>
            <w:vAlign w:val="center"/>
          </w:tcPr>
          <w:p w14:paraId="3AF2FE2E">
            <w:pPr>
              <w:pStyle w:val="18"/>
              <w:rPr>
                <w:color w:val="auto"/>
              </w:rPr>
            </w:pPr>
            <w:r>
              <w:rPr>
                <w:color w:val="auto"/>
              </w:rPr>
              <w:t>检查项目</w:t>
            </w:r>
          </w:p>
        </w:tc>
        <w:tc>
          <w:tcPr>
            <w:tcW w:w="1215" w:type="pct"/>
            <w:tcBorders>
              <w:tl2br w:val="nil"/>
              <w:tr2bl w:val="nil"/>
            </w:tcBorders>
            <w:vAlign w:val="center"/>
          </w:tcPr>
          <w:p w14:paraId="1ACA09AF">
            <w:pPr>
              <w:pStyle w:val="18"/>
              <w:rPr>
                <w:color w:val="auto"/>
              </w:rPr>
            </w:pPr>
            <w:r>
              <w:rPr>
                <w:color w:val="auto"/>
              </w:rPr>
              <w:t>规定值或允许偏差</w:t>
            </w:r>
          </w:p>
        </w:tc>
        <w:tc>
          <w:tcPr>
            <w:tcW w:w="1944" w:type="pct"/>
            <w:tcBorders>
              <w:tl2br w:val="nil"/>
              <w:tr2bl w:val="nil"/>
            </w:tcBorders>
            <w:vAlign w:val="center"/>
          </w:tcPr>
          <w:p w14:paraId="7C08E13F">
            <w:pPr>
              <w:pStyle w:val="18"/>
              <w:rPr>
                <w:color w:val="auto"/>
              </w:rPr>
            </w:pPr>
            <w:r>
              <w:rPr>
                <w:color w:val="auto"/>
              </w:rPr>
              <w:t>检查方法和频率</w:t>
            </w:r>
          </w:p>
        </w:tc>
        <w:tc>
          <w:tcPr>
            <w:tcW w:w="370" w:type="pct"/>
            <w:tcBorders>
              <w:tl2br w:val="nil"/>
              <w:tr2bl w:val="nil"/>
            </w:tcBorders>
            <w:vAlign w:val="center"/>
          </w:tcPr>
          <w:p w14:paraId="24755057">
            <w:pPr>
              <w:pStyle w:val="18"/>
              <w:rPr>
                <w:color w:val="auto"/>
              </w:rPr>
            </w:pPr>
            <w:r>
              <w:rPr>
                <w:color w:val="auto"/>
              </w:rPr>
              <w:t>权值</w:t>
            </w:r>
          </w:p>
        </w:tc>
      </w:tr>
      <w:tr w14:paraId="5F73AF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2CB6724F">
            <w:pPr>
              <w:pStyle w:val="18"/>
              <w:rPr>
                <w:color w:val="auto"/>
              </w:rPr>
            </w:pPr>
            <w:r>
              <w:rPr>
                <w:color w:val="auto"/>
              </w:rPr>
              <w:t>1</w:t>
            </w:r>
          </w:p>
        </w:tc>
        <w:tc>
          <w:tcPr>
            <w:tcW w:w="1099" w:type="pct"/>
            <w:tcBorders>
              <w:tl2br w:val="nil"/>
              <w:tr2bl w:val="nil"/>
            </w:tcBorders>
            <w:vAlign w:val="center"/>
          </w:tcPr>
          <w:p w14:paraId="32C29596">
            <w:pPr>
              <w:pStyle w:val="18"/>
              <w:rPr>
                <w:color w:val="auto"/>
              </w:rPr>
            </w:pPr>
            <w:r>
              <w:rPr>
                <w:color w:val="auto"/>
              </w:rPr>
              <w:t>沟底高程（mm）</w:t>
            </w:r>
          </w:p>
        </w:tc>
        <w:tc>
          <w:tcPr>
            <w:tcW w:w="1215" w:type="pct"/>
            <w:tcBorders>
              <w:tl2br w:val="nil"/>
              <w:tr2bl w:val="nil"/>
            </w:tcBorders>
            <w:vAlign w:val="center"/>
          </w:tcPr>
          <w:p w14:paraId="7067F40A">
            <w:pPr>
              <w:pStyle w:val="18"/>
              <w:rPr>
                <w:color w:val="auto"/>
              </w:rPr>
            </w:pPr>
            <w:r>
              <w:rPr>
                <w:color w:val="auto"/>
              </w:rPr>
              <w:t>0</w:t>
            </w:r>
            <w:r>
              <w:rPr>
                <w:rFonts w:hint="eastAsia"/>
                <w:color w:val="auto"/>
                <w:lang w:eastAsia="zh-CN"/>
              </w:rPr>
              <w:t>,</w:t>
            </w:r>
            <w:r>
              <w:rPr>
                <w:color w:val="auto"/>
              </w:rPr>
              <w:t>-30</w:t>
            </w:r>
          </w:p>
        </w:tc>
        <w:tc>
          <w:tcPr>
            <w:tcW w:w="1944" w:type="pct"/>
            <w:tcBorders>
              <w:tl2br w:val="nil"/>
              <w:tr2bl w:val="nil"/>
            </w:tcBorders>
            <w:vAlign w:val="center"/>
          </w:tcPr>
          <w:p w14:paraId="47E6F69D">
            <w:pPr>
              <w:pStyle w:val="18"/>
              <w:rPr>
                <w:color w:val="auto"/>
              </w:rPr>
            </w:pPr>
            <w:r>
              <w:rPr>
                <w:color w:val="auto"/>
              </w:rPr>
              <w:t>水准仪：每200m 测4处</w:t>
            </w:r>
          </w:p>
        </w:tc>
        <w:tc>
          <w:tcPr>
            <w:tcW w:w="370" w:type="pct"/>
            <w:tcBorders>
              <w:tl2br w:val="nil"/>
              <w:tr2bl w:val="nil"/>
            </w:tcBorders>
            <w:vAlign w:val="center"/>
          </w:tcPr>
          <w:p w14:paraId="5A26FCEF">
            <w:pPr>
              <w:pStyle w:val="18"/>
              <w:rPr>
                <w:color w:val="auto"/>
              </w:rPr>
            </w:pPr>
            <w:r>
              <w:rPr>
                <w:color w:val="auto"/>
              </w:rPr>
              <w:t>3</w:t>
            </w:r>
          </w:p>
        </w:tc>
      </w:tr>
      <w:tr w14:paraId="571A46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6AFA7207">
            <w:pPr>
              <w:pStyle w:val="18"/>
              <w:rPr>
                <w:color w:val="auto"/>
              </w:rPr>
            </w:pPr>
            <w:r>
              <w:rPr>
                <w:color w:val="auto"/>
              </w:rPr>
              <w:t>2</w:t>
            </w:r>
          </w:p>
        </w:tc>
        <w:tc>
          <w:tcPr>
            <w:tcW w:w="1099" w:type="pct"/>
            <w:tcBorders>
              <w:tl2br w:val="nil"/>
              <w:tr2bl w:val="nil"/>
            </w:tcBorders>
            <w:vAlign w:val="center"/>
          </w:tcPr>
          <w:p w14:paraId="5279C7D1">
            <w:pPr>
              <w:pStyle w:val="18"/>
              <w:rPr>
                <w:color w:val="auto"/>
              </w:rPr>
            </w:pPr>
            <w:r>
              <w:rPr>
                <w:color w:val="auto"/>
              </w:rPr>
              <w:t>断面尺寸（mm）</w:t>
            </w:r>
          </w:p>
        </w:tc>
        <w:tc>
          <w:tcPr>
            <w:tcW w:w="1215" w:type="pct"/>
            <w:tcBorders>
              <w:tl2br w:val="nil"/>
              <w:tr2bl w:val="nil"/>
            </w:tcBorders>
            <w:vAlign w:val="center"/>
          </w:tcPr>
          <w:p w14:paraId="5343CC1F">
            <w:pPr>
              <w:pStyle w:val="18"/>
              <w:rPr>
                <w:color w:val="auto"/>
              </w:rPr>
            </w:pPr>
            <w:r>
              <w:rPr>
                <w:color w:val="auto"/>
              </w:rPr>
              <w:t>不小于设计</w:t>
            </w:r>
          </w:p>
        </w:tc>
        <w:tc>
          <w:tcPr>
            <w:tcW w:w="1944" w:type="pct"/>
            <w:tcBorders>
              <w:tl2br w:val="nil"/>
              <w:tr2bl w:val="nil"/>
            </w:tcBorders>
            <w:vAlign w:val="center"/>
          </w:tcPr>
          <w:p w14:paraId="5DCA490E">
            <w:pPr>
              <w:pStyle w:val="18"/>
              <w:rPr>
                <w:color w:val="auto"/>
              </w:rPr>
            </w:pPr>
            <w:r>
              <w:rPr>
                <w:color w:val="auto"/>
              </w:rPr>
              <w:t>尺量：每 200m测2处</w:t>
            </w:r>
          </w:p>
        </w:tc>
        <w:tc>
          <w:tcPr>
            <w:tcW w:w="370" w:type="pct"/>
            <w:tcBorders>
              <w:tl2br w:val="nil"/>
              <w:tr2bl w:val="nil"/>
            </w:tcBorders>
            <w:vAlign w:val="center"/>
          </w:tcPr>
          <w:p w14:paraId="72903E39">
            <w:pPr>
              <w:pStyle w:val="18"/>
              <w:rPr>
                <w:color w:val="auto"/>
              </w:rPr>
            </w:pPr>
            <w:r>
              <w:rPr>
                <w:color w:val="auto"/>
              </w:rPr>
              <w:t>3</w:t>
            </w:r>
          </w:p>
        </w:tc>
      </w:tr>
      <w:tr w14:paraId="72839E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78ED15F6">
            <w:pPr>
              <w:pStyle w:val="18"/>
              <w:rPr>
                <w:color w:val="auto"/>
              </w:rPr>
            </w:pPr>
            <w:r>
              <w:rPr>
                <w:color w:val="auto"/>
              </w:rPr>
              <w:t>3</w:t>
            </w:r>
          </w:p>
        </w:tc>
        <w:tc>
          <w:tcPr>
            <w:tcW w:w="1099" w:type="pct"/>
            <w:tcBorders>
              <w:tl2br w:val="nil"/>
              <w:tr2bl w:val="nil"/>
            </w:tcBorders>
            <w:vAlign w:val="center"/>
          </w:tcPr>
          <w:p w14:paraId="6B4F8809">
            <w:pPr>
              <w:pStyle w:val="18"/>
              <w:rPr>
                <w:color w:val="auto"/>
              </w:rPr>
            </w:pPr>
            <w:r>
              <w:rPr>
                <w:color w:val="auto"/>
              </w:rPr>
              <w:t>边坡坡度</w:t>
            </w:r>
          </w:p>
        </w:tc>
        <w:tc>
          <w:tcPr>
            <w:tcW w:w="1215" w:type="pct"/>
            <w:tcBorders>
              <w:tl2br w:val="nil"/>
              <w:tr2bl w:val="nil"/>
            </w:tcBorders>
            <w:vAlign w:val="center"/>
          </w:tcPr>
          <w:p w14:paraId="42BB0CC6">
            <w:pPr>
              <w:pStyle w:val="18"/>
              <w:rPr>
                <w:color w:val="auto"/>
              </w:rPr>
            </w:pPr>
            <w:r>
              <w:rPr>
                <w:color w:val="auto"/>
              </w:rPr>
              <w:t>不陡于设计</w:t>
            </w:r>
          </w:p>
        </w:tc>
        <w:tc>
          <w:tcPr>
            <w:tcW w:w="1944" w:type="pct"/>
            <w:tcBorders>
              <w:tl2br w:val="nil"/>
              <w:tr2bl w:val="nil"/>
            </w:tcBorders>
            <w:vAlign w:val="center"/>
          </w:tcPr>
          <w:p w14:paraId="02519454">
            <w:pPr>
              <w:pStyle w:val="18"/>
              <w:rPr>
                <w:color w:val="auto"/>
              </w:rPr>
            </w:pPr>
            <w:r>
              <w:rPr>
                <w:color w:val="auto"/>
              </w:rPr>
              <w:t>尺量：每 200m测2处</w:t>
            </w:r>
          </w:p>
        </w:tc>
        <w:tc>
          <w:tcPr>
            <w:tcW w:w="370" w:type="pct"/>
            <w:tcBorders>
              <w:tl2br w:val="nil"/>
              <w:tr2bl w:val="nil"/>
            </w:tcBorders>
            <w:vAlign w:val="center"/>
          </w:tcPr>
          <w:p w14:paraId="6279A0C0">
            <w:pPr>
              <w:pStyle w:val="18"/>
              <w:rPr>
                <w:color w:val="auto"/>
              </w:rPr>
            </w:pPr>
            <w:r>
              <w:rPr>
                <w:color w:val="auto"/>
              </w:rPr>
              <w:t>2</w:t>
            </w:r>
          </w:p>
        </w:tc>
      </w:tr>
      <w:tr w14:paraId="3B7121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69" w:type="pct"/>
            <w:tcBorders>
              <w:tl2br w:val="nil"/>
              <w:tr2bl w:val="nil"/>
            </w:tcBorders>
            <w:vAlign w:val="center"/>
          </w:tcPr>
          <w:p w14:paraId="4BE58CD1">
            <w:pPr>
              <w:pStyle w:val="18"/>
              <w:rPr>
                <w:color w:val="auto"/>
              </w:rPr>
            </w:pPr>
            <w:r>
              <w:rPr>
                <w:color w:val="auto"/>
              </w:rPr>
              <w:t>4</w:t>
            </w:r>
          </w:p>
        </w:tc>
        <w:tc>
          <w:tcPr>
            <w:tcW w:w="1099" w:type="pct"/>
            <w:tcBorders>
              <w:tl2br w:val="nil"/>
              <w:tr2bl w:val="nil"/>
            </w:tcBorders>
            <w:vAlign w:val="center"/>
          </w:tcPr>
          <w:p w14:paraId="00FCFDE3">
            <w:pPr>
              <w:pStyle w:val="18"/>
              <w:rPr>
                <w:color w:val="auto"/>
              </w:rPr>
            </w:pPr>
            <w:r>
              <w:rPr>
                <w:color w:val="auto"/>
              </w:rPr>
              <w:t>边棱直顺度（mm）</w:t>
            </w:r>
          </w:p>
        </w:tc>
        <w:tc>
          <w:tcPr>
            <w:tcW w:w="1215" w:type="pct"/>
            <w:tcBorders>
              <w:tl2br w:val="nil"/>
              <w:tr2bl w:val="nil"/>
            </w:tcBorders>
            <w:vAlign w:val="center"/>
          </w:tcPr>
          <w:p w14:paraId="617F0BDB">
            <w:pPr>
              <w:pStyle w:val="18"/>
              <w:rPr>
                <w:color w:val="auto"/>
              </w:rPr>
            </w:pPr>
          </w:p>
        </w:tc>
        <w:tc>
          <w:tcPr>
            <w:tcW w:w="1944" w:type="pct"/>
            <w:tcBorders>
              <w:tl2br w:val="nil"/>
              <w:tr2bl w:val="nil"/>
            </w:tcBorders>
            <w:vAlign w:val="center"/>
          </w:tcPr>
          <w:p w14:paraId="50699501">
            <w:pPr>
              <w:pStyle w:val="18"/>
              <w:rPr>
                <w:color w:val="auto"/>
              </w:rPr>
            </w:pPr>
            <w:r>
              <w:rPr>
                <w:color w:val="auto"/>
              </w:rPr>
              <w:t>尺量：20m拉线，每200m 测2 处</w:t>
            </w:r>
          </w:p>
        </w:tc>
        <w:tc>
          <w:tcPr>
            <w:tcW w:w="370" w:type="pct"/>
            <w:tcBorders>
              <w:tl2br w:val="nil"/>
              <w:tr2bl w:val="nil"/>
            </w:tcBorders>
            <w:vAlign w:val="center"/>
          </w:tcPr>
          <w:p w14:paraId="54A036FF">
            <w:pPr>
              <w:pStyle w:val="18"/>
              <w:rPr>
                <w:color w:val="auto"/>
              </w:rPr>
            </w:pPr>
            <w:r>
              <w:rPr>
                <w:color w:val="auto"/>
              </w:rPr>
              <w:t>2</w:t>
            </w:r>
          </w:p>
        </w:tc>
      </w:tr>
    </w:tbl>
    <w:p w14:paraId="3FF88B66">
      <w:pPr>
        <w:tabs>
          <w:tab w:val="left" w:pos="8280"/>
        </w:tabs>
        <w:spacing w:line="560" w:lineRule="exact"/>
        <w:ind w:firstLine="560"/>
        <w:rPr>
          <w:rFonts w:eastAsia="仿宋"/>
          <w:color w:val="auto"/>
          <w:szCs w:val="28"/>
        </w:rPr>
      </w:pPr>
      <w:r>
        <w:rPr>
          <w:rFonts w:eastAsia="仿宋"/>
          <w:color w:val="auto"/>
          <w:szCs w:val="28"/>
        </w:rPr>
        <w:t>3）外观鉴定</w:t>
      </w:r>
    </w:p>
    <w:p w14:paraId="139C1D4C">
      <w:pPr>
        <w:tabs>
          <w:tab w:val="left" w:pos="8280"/>
        </w:tabs>
        <w:spacing w:line="560" w:lineRule="exact"/>
        <w:ind w:firstLine="560"/>
        <w:rPr>
          <w:rFonts w:eastAsia="仿宋"/>
          <w:color w:val="auto"/>
          <w:szCs w:val="28"/>
        </w:rPr>
      </w:pPr>
      <w:r>
        <w:rPr>
          <w:rFonts w:eastAsia="仿宋"/>
          <w:color w:val="auto"/>
          <w:szCs w:val="28"/>
        </w:rPr>
        <w:t>①砌体内侧及沟底应平顺。不符合要求时，减1~2 分。</w:t>
      </w:r>
    </w:p>
    <w:p w14:paraId="595B0639">
      <w:pPr>
        <w:tabs>
          <w:tab w:val="left" w:pos="8280"/>
        </w:tabs>
        <w:spacing w:line="560" w:lineRule="exact"/>
        <w:ind w:firstLine="560"/>
        <w:rPr>
          <w:rFonts w:eastAsia="仿宋"/>
          <w:color w:val="auto"/>
          <w:szCs w:val="28"/>
        </w:rPr>
      </w:pPr>
      <w:r>
        <w:rPr>
          <w:rFonts w:eastAsia="仿宋"/>
          <w:color w:val="auto"/>
          <w:szCs w:val="28"/>
        </w:rPr>
        <w:t>②沟底不得有杂物。不符合要求时，减1~2 分。</w:t>
      </w:r>
    </w:p>
    <w:p w14:paraId="2DC11AB5">
      <w:pPr>
        <w:tabs>
          <w:tab w:val="left" w:pos="8280"/>
        </w:tabs>
        <w:ind w:firstLine="560"/>
        <w:rPr>
          <w:rFonts w:eastAsia="仿宋"/>
          <w:color w:val="auto"/>
          <w:szCs w:val="28"/>
        </w:rPr>
      </w:pPr>
      <w:r>
        <w:rPr>
          <w:rFonts w:eastAsia="仿宋"/>
          <w:color w:val="auto"/>
          <w:szCs w:val="28"/>
        </w:rPr>
        <w:t>（3）隐蔽工程</w:t>
      </w:r>
    </w:p>
    <w:p w14:paraId="6BDC4085">
      <w:pPr>
        <w:tabs>
          <w:tab w:val="left" w:pos="8280"/>
        </w:tabs>
        <w:ind w:firstLine="560"/>
        <w:rPr>
          <w:rFonts w:eastAsia="仿宋"/>
          <w:color w:val="auto"/>
          <w:szCs w:val="28"/>
        </w:rPr>
      </w:pPr>
      <w:r>
        <w:rPr>
          <w:rFonts w:eastAsia="仿宋"/>
          <w:color w:val="auto"/>
          <w:szCs w:val="28"/>
        </w:rPr>
        <w:t>排水沟基础等重要隐蔽工程完工后，先由施工单位自检合格后，填报隐蔽工程验收单后由监理验收。</w:t>
      </w:r>
    </w:p>
    <w:p w14:paraId="4CB0D264">
      <w:pPr>
        <w:tabs>
          <w:tab w:val="left" w:pos="8280"/>
        </w:tabs>
        <w:ind w:firstLine="560"/>
        <w:rPr>
          <w:rFonts w:eastAsia="仿宋"/>
          <w:color w:val="auto"/>
          <w:szCs w:val="28"/>
        </w:rPr>
      </w:pPr>
      <w:r>
        <w:rPr>
          <w:rFonts w:eastAsia="仿宋"/>
          <w:color w:val="auto"/>
          <w:szCs w:val="28"/>
        </w:rPr>
        <w:t>（4）绿化</w:t>
      </w:r>
    </w:p>
    <w:p w14:paraId="36C04A35">
      <w:pPr>
        <w:tabs>
          <w:tab w:val="left" w:pos="8280"/>
        </w:tabs>
        <w:ind w:firstLine="560"/>
        <w:rPr>
          <w:rFonts w:eastAsia="仿宋"/>
          <w:color w:val="auto"/>
          <w:szCs w:val="28"/>
        </w:rPr>
      </w:pPr>
      <w:r>
        <w:rPr>
          <w:rFonts w:eastAsia="仿宋"/>
          <w:color w:val="auto"/>
          <w:szCs w:val="28"/>
        </w:rPr>
        <w:t>1）基本要求</w:t>
      </w:r>
    </w:p>
    <w:p w14:paraId="738FA106">
      <w:pPr>
        <w:ind w:firstLine="560"/>
        <w:rPr>
          <w:rFonts w:eastAsia="仿宋"/>
          <w:color w:val="auto"/>
          <w:szCs w:val="28"/>
        </w:rPr>
      </w:pPr>
      <w:r>
        <w:rPr>
          <w:rFonts w:eastAsia="仿宋"/>
          <w:color w:val="auto"/>
          <w:szCs w:val="28"/>
        </w:rPr>
        <w:t>①绿化的种植材料应符合设计要求，不能及时种植的苗木应进行假植。</w:t>
      </w:r>
    </w:p>
    <w:p w14:paraId="398F11F9">
      <w:pPr>
        <w:tabs>
          <w:tab w:val="left" w:pos="8280"/>
        </w:tabs>
        <w:ind w:firstLine="560"/>
        <w:rPr>
          <w:rFonts w:eastAsia="仿宋"/>
          <w:color w:val="auto"/>
          <w:szCs w:val="28"/>
        </w:rPr>
      </w:pPr>
      <w:r>
        <w:rPr>
          <w:rFonts w:eastAsia="仿宋"/>
          <w:color w:val="auto"/>
          <w:szCs w:val="28"/>
        </w:rPr>
        <w:t>②绿化施工应按照设计文件所规定的施工方法与工艺进行，严格施工过程质量控制。</w:t>
      </w:r>
    </w:p>
    <w:p w14:paraId="33FD8401">
      <w:pPr>
        <w:tabs>
          <w:tab w:val="left" w:pos="8280"/>
        </w:tabs>
        <w:ind w:firstLine="560"/>
        <w:rPr>
          <w:rFonts w:eastAsia="仿宋"/>
          <w:color w:val="auto"/>
          <w:szCs w:val="28"/>
        </w:rPr>
      </w:pPr>
      <w:r>
        <w:rPr>
          <w:rFonts w:hint="eastAsia" w:eastAsia="仿宋"/>
          <w:color w:val="auto"/>
          <w:szCs w:val="28"/>
        </w:rPr>
        <w:t>水</w:t>
      </w:r>
      <w:r>
        <w:rPr>
          <w:rFonts w:eastAsia="仿宋"/>
          <w:color w:val="auto"/>
          <w:szCs w:val="28"/>
        </w:rPr>
        <w:t>土保持措施评估组对调查对象进行了项目划分，并确定抽查比例后，重点核查了各防治区的土质排水沟、</w:t>
      </w:r>
      <w:r>
        <w:rPr>
          <w:rFonts w:hint="eastAsia" w:eastAsia="仿宋"/>
          <w:color w:val="auto"/>
          <w:szCs w:val="28"/>
        </w:rPr>
        <w:t>沉沙池</w:t>
      </w:r>
      <w:r>
        <w:rPr>
          <w:rFonts w:eastAsia="仿宋"/>
          <w:color w:val="auto"/>
          <w:szCs w:val="28"/>
        </w:rPr>
        <w:t>、塑料薄膜苫盖。检查结果表明：各防治区的措施布置方式符合设计要求。</w:t>
      </w:r>
    </w:p>
    <w:p w14:paraId="56144664">
      <w:pPr>
        <w:tabs>
          <w:tab w:val="left" w:pos="8280"/>
        </w:tabs>
        <w:ind w:firstLine="560"/>
        <w:rPr>
          <w:rFonts w:eastAsia="仿宋"/>
          <w:color w:val="auto"/>
          <w:szCs w:val="28"/>
        </w:rPr>
      </w:pPr>
      <w:r>
        <w:rPr>
          <w:rFonts w:eastAsia="仿宋"/>
          <w:color w:val="auto"/>
          <w:szCs w:val="28"/>
        </w:rPr>
        <w:t>2）实测项目</w:t>
      </w:r>
    </w:p>
    <w:p w14:paraId="061A4AFF">
      <w:pPr>
        <w:tabs>
          <w:tab w:val="left" w:pos="8280"/>
        </w:tabs>
        <w:ind w:firstLine="560"/>
        <w:rPr>
          <w:rFonts w:eastAsia="仿宋"/>
          <w:color w:val="auto"/>
          <w:szCs w:val="28"/>
        </w:rPr>
      </w:pPr>
      <w:r>
        <w:rPr>
          <w:rFonts w:eastAsia="仿宋"/>
          <w:color w:val="auto"/>
          <w:szCs w:val="28"/>
        </w:rPr>
        <w:t>绿化实测项目表 4-4。</w:t>
      </w:r>
    </w:p>
    <w:p w14:paraId="2FEFF0EA">
      <w:pPr>
        <w:pStyle w:val="20"/>
        <w:rPr>
          <w:color w:val="auto"/>
        </w:rPr>
      </w:pPr>
      <w:r>
        <w:rPr>
          <w:color w:val="auto"/>
        </w:rPr>
        <w:t>表4-4绿化实测项目表</w:t>
      </w:r>
    </w:p>
    <w:tbl>
      <w:tblPr>
        <w:tblStyle w:val="14"/>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737"/>
        <w:gridCol w:w="2539"/>
        <w:gridCol w:w="2255"/>
        <w:gridCol w:w="2679"/>
        <w:gridCol w:w="547"/>
      </w:tblGrid>
      <w:tr w14:paraId="53DB5BE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339054E2">
            <w:pPr>
              <w:pStyle w:val="18"/>
              <w:rPr>
                <w:color w:val="auto"/>
              </w:rPr>
            </w:pPr>
            <w:r>
              <w:rPr>
                <w:color w:val="auto"/>
              </w:rPr>
              <w:t>序号</w:t>
            </w:r>
          </w:p>
        </w:tc>
        <w:tc>
          <w:tcPr>
            <w:tcW w:w="1449" w:type="pct"/>
            <w:tcBorders>
              <w:tl2br w:val="nil"/>
              <w:tr2bl w:val="nil"/>
            </w:tcBorders>
            <w:vAlign w:val="center"/>
          </w:tcPr>
          <w:p w14:paraId="6B1749F3">
            <w:pPr>
              <w:pStyle w:val="18"/>
              <w:rPr>
                <w:color w:val="auto"/>
              </w:rPr>
            </w:pPr>
            <w:r>
              <w:rPr>
                <w:color w:val="auto"/>
              </w:rPr>
              <w:t>检查项目</w:t>
            </w:r>
          </w:p>
        </w:tc>
        <w:tc>
          <w:tcPr>
            <w:tcW w:w="1287" w:type="pct"/>
            <w:tcBorders>
              <w:tl2br w:val="nil"/>
              <w:tr2bl w:val="nil"/>
            </w:tcBorders>
            <w:vAlign w:val="center"/>
          </w:tcPr>
          <w:p w14:paraId="31A4D24B">
            <w:pPr>
              <w:pStyle w:val="18"/>
              <w:rPr>
                <w:color w:val="auto"/>
              </w:rPr>
            </w:pPr>
            <w:r>
              <w:rPr>
                <w:color w:val="auto"/>
              </w:rPr>
              <w:t>规定值或允许偏差</w:t>
            </w:r>
          </w:p>
        </w:tc>
        <w:tc>
          <w:tcPr>
            <w:tcW w:w="1529" w:type="pct"/>
            <w:tcBorders>
              <w:tl2br w:val="nil"/>
              <w:tr2bl w:val="nil"/>
            </w:tcBorders>
            <w:vAlign w:val="center"/>
          </w:tcPr>
          <w:p w14:paraId="08CD5B30">
            <w:pPr>
              <w:pStyle w:val="18"/>
              <w:rPr>
                <w:color w:val="auto"/>
              </w:rPr>
            </w:pPr>
            <w:r>
              <w:rPr>
                <w:color w:val="auto"/>
              </w:rPr>
              <w:t>检查方法和频率</w:t>
            </w:r>
          </w:p>
        </w:tc>
        <w:tc>
          <w:tcPr>
            <w:tcW w:w="312" w:type="pct"/>
            <w:tcBorders>
              <w:tl2br w:val="nil"/>
              <w:tr2bl w:val="nil"/>
            </w:tcBorders>
            <w:vAlign w:val="center"/>
          </w:tcPr>
          <w:p w14:paraId="4BA326BA">
            <w:pPr>
              <w:pStyle w:val="18"/>
              <w:rPr>
                <w:color w:val="auto"/>
              </w:rPr>
            </w:pPr>
            <w:r>
              <w:rPr>
                <w:color w:val="auto"/>
              </w:rPr>
              <w:t>权值</w:t>
            </w:r>
          </w:p>
        </w:tc>
      </w:tr>
      <w:tr w14:paraId="5605C6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706363A6">
            <w:pPr>
              <w:pStyle w:val="18"/>
              <w:rPr>
                <w:color w:val="auto"/>
              </w:rPr>
            </w:pPr>
            <w:r>
              <w:rPr>
                <w:color w:val="auto"/>
              </w:rPr>
              <w:t>1</w:t>
            </w:r>
          </w:p>
        </w:tc>
        <w:tc>
          <w:tcPr>
            <w:tcW w:w="1449" w:type="pct"/>
            <w:tcBorders>
              <w:tl2br w:val="nil"/>
              <w:tr2bl w:val="nil"/>
            </w:tcBorders>
            <w:vAlign w:val="center"/>
          </w:tcPr>
          <w:p w14:paraId="236D58F5">
            <w:pPr>
              <w:pStyle w:val="18"/>
              <w:rPr>
                <w:color w:val="auto"/>
              </w:rPr>
            </w:pPr>
            <w:r>
              <w:rPr>
                <w:color w:val="auto"/>
              </w:rPr>
              <w:t>苗木规格与数量</w:t>
            </w:r>
          </w:p>
        </w:tc>
        <w:tc>
          <w:tcPr>
            <w:tcW w:w="1287" w:type="pct"/>
            <w:tcBorders>
              <w:tl2br w:val="nil"/>
              <w:tr2bl w:val="nil"/>
            </w:tcBorders>
            <w:vAlign w:val="center"/>
          </w:tcPr>
          <w:p w14:paraId="3491D0A9">
            <w:pPr>
              <w:pStyle w:val="18"/>
              <w:rPr>
                <w:color w:val="auto"/>
              </w:rPr>
            </w:pPr>
            <w:r>
              <w:rPr>
                <w:color w:val="auto"/>
              </w:rPr>
              <w:t>符合设计</w:t>
            </w:r>
          </w:p>
        </w:tc>
        <w:tc>
          <w:tcPr>
            <w:tcW w:w="1529" w:type="pct"/>
            <w:tcBorders>
              <w:tl2br w:val="nil"/>
              <w:tr2bl w:val="nil"/>
            </w:tcBorders>
            <w:vAlign w:val="center"/>
          </w:tcPr>
          <w:p w14:paraId="400A20EE">
            <w:pPr>
              <w:pStyle w:val="18"/>
              <w:rPr>
                <w:color w:val="auto"/>
              </w:rPr>
            </w:pPr>
            <w:r>
              <w:rPr>
                <w:color w:val="auto"/>
              </w:rPr>
              <w:t>尺量：每lkm测50m</w:t>
            </w:r>
          </w:p>
        </w:tc>
        <w:tc>
          <w:tcPr>
            <w:tcW w:w="312" w:type="pct"/>
            <w:tcBorders>
              <w:tl2br w:val="nil"/>
              <w:tr2bl w:val="nil"/>
            </w:tcBorders>
            <w:vAlign w:val="center"/>
          </w:tcPr>
          <w:p w14:paraId="50AA69F3">
            <w:pPr>
              <w:pStyle w:val="18"/>
              <w:rPr>
                <w:color w:val="auto"/>
              </w:rPr>
            </w:pPr>
            <w:r>
              <w:rPr>
                <w:color w:val="auto"/>
              </w:rPr>
              <w:t>1</w:t>
            </w:r>
          </w:p>
        </w:tc>
      </w:tr>
      <w:tr w14:paraId="07013B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78D16B9C">
            <w:pPr>
              <w:pStyle w:val="18"/>
              <w:rPr>
                <w:color w:val="auto"/>
              </w:rPr>
            </w:pPr>
            <w:r>
              <w:rPr>
                <w:color w:val="auto"/>
              </w:rPr>
              <w:t>2</w:t>
            </w:r>
          </w:p>
        </w:tc>
        <w:tc>
          <w:tcPr>
            <w:tcW w:w="1449" w:type="pct"/>
            <w:tcBorders>
              <w:tl2br w:val="nil"/>
              <w:tr2bl w:val="nil"/>
            </w:tcBorders>
            <w:vAlign w:val="center"/>
          </w:tcPr>
          <w:p w14:paraId="5185AF44">
            <w:pPr>
              <w:pStyle w:val="18"/>
              <w:rPr>
                <w:color w:val="auto"/>
              </w:rPr>
            </w:pPr>
            <w:r>
              <w:rPr>
                <w:color w:val="auto"/>
              </w:rPr>
              <w:t>种植穴规格</w:t>
            </w:r>
          </w:p>
        </w:tc>
        <w:tc>
          <w:tcPr>
            <w:tcW w:w="1287" w:type="pct"/>
            <w:tcBorders>
              <w:tl2br w:val="nil"/>
              <w:tr2bl w:val="nil"/>
            </w:tcBorders>
            <w:vAlign w:val="center"/>
          </w:tcPr>
          <w:p w14:paraId="15505C9D">
            <w:pPr>
              <w:pStyle w:val="18"/>
              <w:rPr>
                <w:color w:val="auto"/>
              </w:rPr>
            </w:pPr>
            <w:r>
              <w:rPr>
                <w:color w:val="auto"/>
              </w:rPr>
              <w:t>符合 CJJ/T82 的规定</w:t>
            </w:r>
          </w:p>
        </w:tc>
        <w:tc>
          <w:tcPr>
            <w:tcW w:w="1529" w:type="pct"/>
            <w:tcBorders>
              <w:tl2br w:val="nil"/>
              <w:tr2bl w:val="nil"/>
            </w:tcBorders>
            <w:vAlign w:val="center"/>
          </w:tcPr>
          <w:p w14:paraId="7A6ED35A">
            <w:pPr>
              <w:pStyle w:val="18"/>
              <w:rPr>
                <w:color w:val="auto"/>
              </w:rPr>
            </w:pPr>
            <w:r>
              <w:rPr>
                <w:color w:val="auto"/>
              </w:rPr>
              <w:t>钢尺量：每1km测50m</w:t>
            </w:r>
          </w:p>
        </w:tc>
        <w:tc>
          <w:tcPr>
            <w:tcW w:w="312" w:type="pct"/>
            <w:tcBorders>
              <w:tl2br w:val="nil"/>
              <w:tr2bl w:val="nil"/>
            </w:tcBorders>
            <w:vAlign w:val="center"/>
          </w:tcPr>
          <w:p w14:paraId="67AD5207">
            <w:pPr>
              <w:pStyle w:val="18"/>
              <w:rPr>
                <w:color w:val="auto"/>
              </w:rPr>
            </w:pPr>
            <w:r>
              <w:rPr>
                <w:color w:val="auto"/>
              </w:rPr>
              <w:t>1</w:t>
            </w:r>
          </w:p>
        </w:tc>
      </w:tr>
      <w:tr w14:paraId="404028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27B1DA3F">
            <w:pPr>
              <w:pStyle w:val="18"/>
              <w:rPr>
                <w:color w:val="auto"/>
              </w:rPr>
            </w:pPr>
            <w:r>
              <w:rPr>
                <w:color w:val="auto"/>
              </w:rPr>
              <w:t>3</w:t>
            </w:r>
          </w:p>
        </w:tc>
        <w:tc>
          <w:tcPr>
            <w:tcW w:w="1449" w:type="pct"/>
            <w:tcBorders>
              <w:tl2br w:val="nil"/>
              <w:tr2bl w:val="nil"/>
            </w:tcBorders>
            <w:vAlign w:val="center"/>
          </w:tcPr>
          <w:p w14:paraId="3D8DC240">
            <w:pPr>
              <w:pStyle w:val="18"/>
              <w:rPr>
                <w:color w:val="auto"/>
              </w:rPr>
            </w:pPr>
            <w:r>
              <w:rPr>
                <w:color w:val="auto"/>
              </w:rPr>
              <w:t>土层厚度</w:t>
            </w:r>
          </w:p>
        </w:tc>
        <w:tc>
          <w:tcPr>
            <w:tcW w:w="1287" w:type="pct"/>
            <w:tcBorders>
              <w:tl2br w:val="nil"/>
              <w:tr2bl w:val="nil"/>
            </w:tcBorders>
            <w:vAlign w:val="center"/>
          </w:tcPr>
          <w:p w14:paraId="10325045">
            <w:pPr>
              <w:pStyle w:val="18"/>
              <w:rPr>
                <w:color w:val="auto"/>
              </w:rPr>
            </w:pPr>
            <w:r>
              <w:rPr>
                <w:color w:val="auto"/>
              </w:rPr>
              <w:t>符合 CJJ/T82 的规定</w:t>
            </w:r>
          </w:p>
        </w:tc>
        <w:tc>
          <w:tcPr>
            <w:tcW w:w="1529" w:type="pct"/>
            <w:tcBorders>
              <w:tl2br w:val="nil"/>
              <w:tr2bl w:val="nil"/>
            </w:tcBorders>
            <w:vAlign w:val="center"/>
          </w:tcPr>
          <w:p w14:paraId="21A8CFB0">
            <w:pPr>
              <w:pStyle w:val="18"/>
              <w:rPr>
                <w:color w:val="auto"/>
              </w:rPr>
            </w:pPr>
            <w:r>
              <w:rPr>
                <w:color w:val="auto"/>
              </w:rPr>
              <w:t>钢尺量：每lkm测50m</w:t>
            </w:r>
          </w:p>
        </w:tc>
        <w:tc>
          <w:tcPr>
            <w:tcW w:w="312" w:type="pct"/>
            <w:tcBorders>
              <w:tl2br w:val="nil"/>
              <w:tr2bl w:val="nil"/>
            </w:tcBorders>
            <w:vAlign w:val="center"/>
          </w:tcPr>
          <w:p w14:paraId="7588D403">
            <w:pPr>
              <w:pStyle w:val="18"/>
              <w:rPr>
                <w:color w:val="auto"/>
              </w:rPr>
            </w:pPr>
            <w:r>
              <w:rPr>
                <w:color w:val="auto"/>
              </w:rPr>
              <w:t>1</w:t>
            </w:r>
          </w:p>
        </w:tc>
      </w:tr>
      <w:tr w14:paraId="0B37C1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75D4BAD9">
            <w:pPr>
              <w:pStyle w:val="18"/>
              <w:rPr>
                <w:color w:val="auto"/>
              </w:rPr>
            </w:pPr>
            <w:r>
              <w:rPr>
                <w:color w:val="auto"/>
              </w:rPr>
              <w:t>4</w:t>
            </w:r>
          </w:p>
        </w:tc>
        <w:tc>
          <w:tcPr>
            <w:tcW w:w="1449" w:type="pct"/>
            <w:tcBorders>
              <w:tl2br w:val="nil"/>
              <w:tr2bl w:val="nil"/>
            </w:tcBorders>
            <w:vAlign w:val="center"/>
          </w:tcPr>
          <w:p w14:paraId="60FAB9EB">
            <w:pPr>
              <w:pStyle w:val="18"/>
              <w:rPr>
                <w:color w:val="auto"/>
              </w:rPr>
            </w:pPr>
            <w:r>
              <w:rPr>
                <w:color w:val="auto"/>
              </w:rPr>
              <w:t>苗木成活率（</w:t>
            </w:r>
            <w:r>
              <w:rPr>
                <w:color w:val="auto"/>
              </w:rPr>
              <w:drawing>
                <wp:inline distT="0" distB="0" distL="0" distR="0">
                  <wp:extent cx="60325" cy="104775"/>
                  <wp:effectExtent l="0" t="0" r="15875" b="9525"/>
                  <wp:docPr id="7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4.png"/>
                          <pic:cNvPicPr>
                            <a:picLocks noChangeAspect="1"/>
                          </pic:cNvPicPr>
                        </pic:nvPicPr>
                        <pic:blipFill>
                          <a:blip r:embed="rId33" cstate="print"/>
                          <a:stretch>
                            <a:fillRect/>
                          </a:stretch>
                        </pic:blipFill>
                        <pic:spPr>
                          <a:xfrm>
                            <a:off x="0" y="0"/>
                            <a:ext cx="60325" cy="104775"/>
                          </a:xfrm>
                          <a:prstGeom prst="rect">
                            <a:avLst/>
                          </a:prstGeom>
                        </pic:spPr>
                      </pic:pic>
                    </a:graphicData>
                  </a:graphic>
                </wp:inline>
              </w:drawing>
            </w:r>
            <w:r>
              <w:rPr>
                <w:color w:val="auto"/>
              </w:rPr>
              <w:t>）</w:t>
            </w:r>
          </w:p>
        </w:tc>
        <w:tc>
          <w:tcPr>
            <w:tcW w:w="1287" w:type="pct"/>
            <w:tcBorders>
              <w:tl2br w:val="nil"/>
              <w:tr2bl w:val="nil"/>
            </w:tcBorders>
            <w:vAlign w:val="center"/>
          </w:tcPr>
          <w:p w14:paraId="4548A3D1">
            <w:pPr>
              <w:pStyle w:val="18"/>
              <w:rPr>
                <w:color w:val="auto"/>
              </w:rPr>
            </w:pPr>
            <w:r>
              <w:rPr>
                <w:color w:val="auto"/>
              </w:rPr>
              <w:t>≥85</w:t>
            </w:r>
          </w:p>
        </w:tc>
        <w:tc>
          <w:tcPr>
            <w:tcW w:w="1529" w:type="pct"/>
            <w:tcBorders>
              <w:tl2br w:val="nil"/>
              <w:tr2bl w:val="nil"/>
            </w:tcBorders>
            <w:vAlign w:val="center"/>
          </w:tcPr>
          <w:p w14:paraId="448D15AB">
            <w:pPr>
              <w:pStyle w:val="18"/>
              <w:rPr>
                <w:color w:val="auto"/>
              </w:rPr>
            </w:pPr>
            <w:r>
              <w:rPr>
                <w:color w:val="auto"/>
              </w:rPr>
              <w:t>目测：每lkm测200m</w:t>
            </w:r>
          </w:p>
        </w:tc>
        <w:tc>
          <w:tcPr>
            <w:tcW w:w="312" w:type="pct"/>
            <w:tcBorders>
              <w:tl2br w:val="nil"/>
              <w:tr2bl w:val="nil"/>
            </w:tcBorders>
            <w:vAlign w:val="center"/>
          </w:tcPr>
          <w:p w14:paraId="50C5B98B">
            <w:pPr>
              <w:pStyle w:val="18"/>
              <w:rPr>
                <w:color w:val="auto"/>
              </w:rPr>
            </w:pPr>
            <w:r>
              <w:rPr>
                <w:color w:val="auto"/>
              </w:rPr>
              <w:t>2</w:t>
            </w:r>
          </w:p>
        </w:tc>
      </w:tr>
      <w:tr w14:paraId="6059E0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0E2AAB97">
            <w:pPr>
              <w:pStyle w:val="18"/>
              <w:rPr>
                <w:color w:val="auto"/>
              </w:rPr>
            </w:pPr>
            <w:r>
              <w:rPr>
                <w:color w:val="auto"/>
              </w:rPr>
              <w:t>5</w:t>
            </w:r>
          </w:p>
        </w:tc>
        <w:tc>
          <w:tcPr>
            <w:tcW w:w="1449" w:type="pct"/>
            <w:tcBorders>
              <w:tl2br w:val="nil"/>
              <w:tr2bl w:val="nil"/>
            </w:tcBorders>
            <w:vAlign w:val="center"/>
          </w:tcPr>
          <w:p w14:paraId="78F1B4E3">
            <w:pPr>
              <w:pStyle w:val="18"/>
              <w:rPr>
                <w:color w:val="auto"/>
              </w:rPr>
            </w:pPr>
            <w:r>
              <w:rPr>
                <w:color w:val="auto"/>
              </w:rPr>
              <w:t>草坪覆盖率（</w:t>
            </w:r>
            <w:r>
              <w:rPr>
                <w:color w:val="auto"/>
              </w:rPr>
              <w:drawing>
                <wp:inline distT="0" distB="0" distL="0" distR="0">
                  <wp:extent cx="60325" cy="104775"/>
                  <wp:effectExtent l="0" t="0" r="15875" b="9525"/>
                  <wp:docPr id="8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4.png"/>
                          <pic:cNvPicPr>
                            <a:picLocks noChangeAspect="1"/>
                          </pic:cNvPicPr>
                        </pic:nvPicPr>
                        <pic:blipFill>
                          <a:blip r:embed="rId33" cstate="print"/>
                          <a:stretch>
                            <a:fillRect/>
                          </a:stretch>
                        </pic:blipFill>
                        <pic:spPr>
                          <a:xfrm>
                            <a:off x="0" y="0"/>
                            <a:ext cx="60325" cy="104775"/>
                          </a:xfrm>
                          <a:prstGeom prst="rect">
                            <a:avLst/>
                          </a:prstGeom>
                        </pic:spPr>
                      </pic:pic>
                    </a:graphicData>
                  </a:graphic>
                </wp:inline>
              </w:drawing>
            </w:r>
            <w:r>
              <w:rPr>
                <w:color w:val="auto"/>
              </w:rPr>
              <w:t>）</w:t>
            </w:r>
          </w:p>
        </w:tc>
        <w:tc>
          <w:tcPr>
            <w:tcW w:w="1287" w:type="pct"/>
            <w:tcBorders>
              <w:tl2br w:val="nil"/>
              <w:tr2bl w:val="nil"/>
            </w:tcBorders>
            <w:vAlign w:val="center"/>
          </w:tcPr>
          <w:p w14:paraId="17B91B95">
            <w:pPr>
              <w:pStyle w:val="18"/>
              <w:rPr>
                <w:color w:val="auto"/>
              </w:rPr>
            </w:pPr>
            <w:r>
              <w:rPr>
                <w:color w:val="auto"/>
              </w:rPr>
              <w:t>≥95</w:t>
            </w:r>
          </w:p>
        </w:tc>
        <w:tc>
          <w:tcPr>
            <w:tcW w:w="1529" w:type="pct"/>
            <w:tcBorders>
              <w:tl2br w:val="nil"/>
              <w:tr2bl w:val="nil"/>
            </w:tcBorders>
            <w:vAlign w:val="center"/>
          </w:tcPr>
          <w:p w14:paraId="48E376B3">
            <w:pPr>
              <w:pStyle w:val="18"/>
              <w:rPr>
                <w:color w:val="auto"/>
              </w:rPr>
            </w:pPr>
            <w:r>
              <w:rPr>
                <w:color w:val="auto"/>
              </w:rPr>
              <w:t>目测：每lkm测</w:t>
            </w:r>
            <w:r>
              <w:rPr>
                <w:rFonts w:hint="eastAsia"/>
                <w:color w:val="auto"/>
                <w:lang w:val="en-US" w:eastAsia="zh-CN"/>
              </w:rPr>
              <w:t>2</w:t>
            </w:r>
            <w:r>
              <w:rPr>
                <w:color w:val="auto"/>
              </w:rPr>
              <w:t>00m</w:t>
            </w:r>
          </w:p>
        </w:tc>
        <w:tc>
          <w:tcPr>
            <w:tcW w:w="312" w:type="pct"/>
            <w:tcBorders>
              <w:tl2br w:val="nil"/>
              <w:tr2bl w:val="nil"/>
            </w:tcBorders>
            <w:vAlign w:val="center"/>
          </w:tcPr>
          <w:p w14:paraId="0E68BB90">
            <w:pPr>
              <w:pStyle w:val="18"/>
              <w:rPr>
                <w:color w:val="auto"/>
              </w:rPr>
            </w:pPr>
            <w:r>
              <w:rPr>
                <w:color w:val="auto"/>
              </w:rPr>
              <w:t>3</w:t>
            </w:r>
          </w:p>
        </w:tc>
      </w:tr>
      <w:tr w14:paraId="281502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1" w:type="pct"/>
            <w:tcBorders>
              <w:tl2br w:val="nil"/>
              <w:tr2bl w:val="nil"/>
            </w:tcBorders>
            <w:vAlign w:val="center"/>
          </w:tcPr>
          <w:p w14:paraId="0300B8CD">
            <w:pPr>
              <w:pStyle w:val="18"/>
              <w:rPr>
                <w:color w:val="auto"/>
              </w:rPr>
            </w:pPr>
            <w:r>
              <w:rPr>
                <w:color w:val="auto"/>
              </w:rPr>
              <w:t>6</w:t>
            </w:r>
          </w:p>
        </w:tc>
        <w:tc>
          <w:tcPr>
            <w:tcW w:w="1449" w:type="pct"/>
            <w:tcBorders>
              <w:tl2br w:val="nil"/>
              <w:tr2bl w:val="nil"/>
            </w:tcBorders>
            <w:vAlign w:val="center"/>
          </w:tcPr>
          <w:p w14:paraId="18207FC8">
            <w:pPr>
              <w:pStyle w:val="18"/>
              <w:rPr>
                <w:color w:val="auto"/>
              </w:rPr>
            </w:pPr>
            <w:r>
              <w:rPr>
                <w:rFonts w:hint="eastAsia"/>
                <w:color w:val="auto"/>
                <w:lang w:eastAsia="zh-CN"/>
              </w:rPr>
              <w:t>其他</w:t>
            </w:r>
            <w:r>
              <w:rPr>
                <w:color w:val="auto"/>
              </w:rPr>
              <w:t>地被植物发芽率（</w:t>
            </w:r>
            <w:r>
              <w:rPr>
                <w:color w:val="auto"/>
              </w:rPr>
              <w:drawing>
                <wp:inline distT="0" distB="0" distL="0" distR="0">
                  <wp:extent cx="60325" cy="104775"/>
                  <wp:effectExtent l="0" t="0" r="15875" b="9525"/>
                  <wp:docPr id="8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4.png"/>
                          <pic:cNvPicPr>
                            <a:picLocks noChangeAspect="1"/>
                          </pic:cNvPicPr>
                        </pic:nvPicPr>
                        <pic:blipFill>
                          <a:blip r:embed="rId33" cstate="print"/>
                          <a:stretch>
                            <a:fillRect/>
                          </a:stretch>
                        </pic:blipFill>
                        <pic:spPr>
                          <a:xfrm>
                            <a:off x="0" y="0"/>
                            <a:ext cx="60325" cy="104775"/>
                          </a:xfrm>
                          <a:prstGeom prst="rect">
                            <a:avLst/>
                          </a:prstGeom>
                        </pic:spPr>
                      </pic:pic>
                    </a:graphicData>
                  </a:graphic>
                </wp:inline>
              </w:drawing>
            </w:r>
            <w:r>
              <w:rPr>
                <w:color w:val="auto"/>
              </w:rPr>
              <w:t>）</w:t>
            </w:r>
          </w:p>
        </w:tc>
        <w:tc>
          <w:tcPr>
            <w:tcW w:w="1287" w:type="pct"/>
            <w:tcBorders>
              <w:tl2br w:val="nil"/>
              <w:tr2bl w:val="nil"/>
            </w:tcBorders>
            <w:vAlign w:val="center"/>
          </w:tcPr>
          <w:p w14:paraId="4D084897">
            <w:pPr>
              <w:pStyle w:val="18"/>
              <w:rPr>
                <w:color w:val="auto"/>
              </w:rPr>
            </w:pPr>
            <w:r>
              <w:rPr>
                <w:color w:val="auto"/>
              </w:rPr>
              <w:t>≥85</w:t>
            </w:r>
          </w:p>
        </w:tc>
        <w:tc>
          <w:tcPr>
            <w:tcW w:w="1529" w:type="pct"/>
            <w:tcBorders>
              <w:tl2br w:val="nil"/>
              <w:tr2bl w:val="nil"/>
            </w:tcBorders>
            <w:vAlign w:val="center"/>
          </w:tcPr>
          <w:p w14:paraId="39BC195F">
            <w:pPr>
              <w:pStyle w:val="18"/>
              <w:rPr>
                <w:color w:val="auto"/>
              </w:rPr>
            </w:pPr>
            <w:r>
              <w:rPr>
                <w:color w:val="auto"/>
              </w:rPr>
              <w:t>目测：每lkm测200m</w:t>
            </w:r>
          </w:p>
        </w:tc>
        <w:tc>
          <w:tcPr>
            <w:tcW w:w="312" w:type="pct"/>
            <w:tcBorders>
              <w:tl2br w:val="nil"/>
              <w:tr2bl w:val="nil"/>
            </w:tcBorders>
            <w:vAlign w:val="center"/>
          </w:tcPr>
          <w:p w14:paraId="3024B933">
            <w:pPr>
              <w:pStyle w:val="18"/>
              <w:rPr>
                <w:color w:val="auto"/>
              </w:rPr>
            </w:pPr>
            <w:r>
              <w:rPr>
                <w:color w:val="auto"/>
              </w:rPr>
              <w:t>2</w:t>
            </w:r>
          </w:p>
        </w:tc>
      </w:tr>
    </w:tbl>
    <w:p w14:paraId="499CCC14">
      <w:pPr>
        <w:tabs>
          <w:tab w:val="left" w:pos="8280"/>
        </w:tabs>
        <w:spacing w:line="560" w:lineRule="exact"/>
        <w:ind w:firstLine="560"/>
        <w:rPr>
          <w:rFonts w:eastAsia="仿宋"/>
          <w:color w:val="auto"/>
          <w:szCs w:val="28"/>
        </w:rPr>
      </w:pPr>
      <w:r>
        <w:rPr>
          <w:rFonts w:eastAsia="仿宋"/>
          <w:color w:val="auto"/>
          <w:szCs w:val="28"/>
        </w:rPr>
        <w:t>3）外观鉴定</w:t>
      </w:r>
    </w:p>
    <w:p w14:paraId="6E8B2D98">
      <w:pPr>
        <w:tabs>
          <w:tab w:val="left" w:pos="8280"/>
        </w:tabs>
        <w:spacing w:line="560" w:lineRule="exact"/>
        <w:ind w:firstLine="560"/>
        <w:rPr>
          <w:rFonts w:eastAsia="仿宋"/>
          <w:color w:val="auto"/>
          <w:szCs w:val="28"/>
        </w:rPr>
      </w:pPr>
      <w:r>
        <w:rPr>
          <w:rFonts w:eastAsia="仿宋"/>
          <w:color w:val="auto"/>
          <w:szCs w:val="28"/>
        </w:rPr>
        <w:t>①草坪应无枯黄、无明显病虫害，不符合要求时减3分。</w:t>
      </w:r>
    </w:p>
    <w:p w14:paraId="201B42A0">
      <w:pPr>
        <w:tabs>
          <w:tab w:val="left" w:pos="8280"/>
        </w:tabs>
        <w:spacing w:line="560" w:lineRule="exact"/>
        <w:ind w:firstLine="560"/>
        <w:rPr>
          <w:rFonts w:eastAsia="仿宋"/>
          <w:color w:val="auto"/>
          <w:szCs w:val="28"/>
        </w:rPr>
      </w:pPr>
      <w:r>
        <w:rPr>
          <w:rFonts w:eastAsia="仿宋"/>
          <w:color w:val="auto"/>
          <w:szCs w:val="28"/>
        </w:rPr>
        <w:t>②草坪连续空白面积达0.5m</w:t>
      </w:r>
      <w:r>
        <w:rPr>
          <w:rFonts w:eastAsia="仿宋"/>
          <w:color w:val="auto"/>
          <w:szCs w:val="28"/>
          <w:vertAlign w:val="superscript"/>
        </w:rPr>
        <w:t>2</w:t>
      </w:r>
      <w:r>
        <w:rPr>
          <w:rFonts w:eastAsia="仿宋"/>
          <w:color w:val="auto"/>
          <w:szCs w:val="28"/>
        </w:rPr>
        <w:t>以上，每处减1</w:t>
      </w:r>
      <w:r>
        <w:rPr>
          <w:rFonts w:hint="eastAsia" w:eastAsia="仿宋"/>
          <w:color w:val="auto"/>
          <w:szCs w:val="28"/>
          <w:lang w:eastAsia="zh-CN"/>
        </w:rPr>
        <w:t>～</w:t>
      </w:r>
      <w:r>
        <w:rPr>
          <w:rFonts w:eastAsia="仿宋"/>
          <w:color w:val="auto"/>
          <w:szCs w:val="28"/>
        </w:rPr>
        <w:t>2分。</w:t>
      </w:r>
    </w:p>
    <w:p w14:paraId="7E82A0EA">
      <w:pPr>
        <w:tabs>
          <w:tab w:val="left" w:pos="8280"/>
        </w:tabs>
        <w:spacing w:line="560" w:lineRule="exact"/>
        <w:ind w:firstLine="560"/>
        <w:rPr>
          <w:rFonts w:eastAsia="仿宋"/>
          <w:color w:val="auto"/>
          <w:szCs w:val="28"/>
        </w:rPr>
      </w:pPr>
      <w:r>
        <w:rPr>
          <w:rFonts w:eastAsia="仿宋"/>
          <w:color w:val="auto"/>
          <w:szCs w:val="28"/>
        </w:rPr>
        <w:t>③边沟外侧绿化带、护坡道绿化带连续缺株4株以上（含4株），每处减2分。</w:t>
      </w:r>
    </w:p>
    <w:p w14:paraId="117FD2CF">
      <w:pPr>
        <w:tabs>
          <w:tab w:val="left" w:pos="8280"/>
        </w:tabs>
        <w:spacing w:line="560" w:lineRule="exact"/>
        <w:ind w:firstLine="560"/>
        <w:rPr>
          <w:rFonts w:eastAsia="仿宋"/>
          <w:color w:val="auto"/>
          <w:szCs w:val="28"/>
        </w:rPr>
      </w:pPr>
      <w:r>
        <w:rPr>
          <w:rFonts w:eastAsia="仿宋"/>
          <w:color w:val="auto"/>
          <w:szCs w:val="28"/>
        </w:rPr>
        <w:t>④苗木有明显的病虫害的减5分。</w:t>
      </w:r>
    </w:p>
    <w:p w14:paraId="6522A823">
      <w:pPr>
        <w:pStyle w:val="5"/>
        <w:widowControl/>
        <w:rPr>
          <w:rFonts w:eastAsia="仿宋"/>
          <w:color w:val="auto"/>
          <w:kern w:val="0"/>
        </w:rPr>
      </w:pPr>
      <w:bookmarkStart w:id="86" w:name="_Toc21542"/>
      <w:r>
        <w:rPr>
          <w:rFonts w:eastAsia="仿宋"/>
          <w:color w:val="auto"/>
          <w:kern w:val="0"/>
        </w:rPr>
        <w:t>4.2.2.2工程质量评定</w:t>
      </w:r>
    </w:p>
    <w:p w14:paraId="63943DB8">
      <w:pPr>
        <w:tabs>
          <w:tab w:val="left" w:pos="8280"/>
        </w:tabs>
        <w:spacing w:line="560" w:lineRule="exact"/>
        <w:ind w:firstLine="560"/>
        <w:rPr>
          <w:rFonts w:eastAsia="仿宋"/>
          <w:color w:val="auto"/>
          <w:szCs w:val="28"/>
        </w:rPr>
      </w:pPr>
      <w:r>
        <w:rPr>
          <w:rFonts w:eastAsia="仿宋"/>
          <w:color w:val="auto"/>
          <w:szCs w:val="28"/>
        </w:rPr>
        <w:t>根据施工期监理季报和监理总结报告，对照已完成签认的工程计量清单和质量监督报告等，同时结合现场调查和查阅施工记录、监理记录及相关质量评定技术文件，按照《开发建设项目水土保持设施验收技术规程》（GB/T22490-2008）要求，依据《水土保持工程质量评定规程》（SL336-2006），监理单位对实施的水土保持工程进行工程质量等级评定。</w:t>
      </w:r>
    </w:p>
    <w:p w14:paraId="6B41BD5B">
      <w:pPr>
        <w:tabs>
          <w:tab w:val="left" w:pos="8280"/>
        </w:tabs>
        <w:spacing w:line="560" w:lineRule="exact"/>
        <w:ind w:firstLine="560"/>
        <w:rPr>
          <w:rFonts w:eastAsia="仿宋"/>
          <w:color w:val="auto"/>
          <w:szCs w:val="28"/>
          <w:highlight w:val="yellow"/>
        </w:rPr>
      </w:pPr>
      <w:r>
        <w:rPr>
          <w:rFonts w:eastAsia="仿宋"/>
          <w:color w:val="auto"/>
          <w:szCs w:val="28"/>
        </w:rPr>
        <w:t>根据现场对工程进行现场实体质量检测、外观检查和查阅质量保证资料，并对分部、单位工程、合同段及建设项目进行质量评定，质量等级为合格工程，按《水土保持工程质量评定规程》，监理单位将水土保持工程措施单位工程和分部工程分别划分为</w:t>
      </w:r>
      <w:r>
        <w:rPr>
          <w:rFonts w:hint="eastAsia" w:eastAsia="仿宋"/>
          <w:color w:val="auto"/>
          <w:szCs w:val="28"/>
          <w:lang w:val="en-US" w:eastAsia="zh-CN"/>
        </w:rPr>
        <w:t>5</w:t>
      </w:r>
      <w:r>
        <w:rPr>
          <w:rFonts w:eastAsia="仿宋"/>
          <w:color w:val="auto"/>
          <w:szCs w:val="28"/>
        </w:rPr>
        <w:t>个单位工程、</w:t>
      </w:r>
      <w:r>
        <w:rPr>
          <w:rFonts w:hint="eastAsia" w:eastAsia="仿宋"/>
          <w:color w:val="auto"/>
          <w:szCs w:val="28"/>
          <w:lang w:val="en-US" w:eastAsia="zh-CN"/>
        </w:rPr>
        <w:t>8</w:t>
      </w:r>
      <w:r>
        <w:rPr>
          <w:rFonts w:eastAsia="仿宋"/>
          <w:color w:val="auto"/>
          <w:szCs w:val="28"/>
        </w:rPr>
        <w:t>个分部工程</w:t>
      </w:r>
      <w:r>
        <w:rPr>
          <w:rFonts w:eastAsia="仿宋"/>
          <w:color w:val="auto"/>
          <w:szCs w:val="28"/>
          <w:highlight w:val="none"/>
        </w:rPr>
        <w:t>、</w:t>
      </w:r>
      <w:r>
        <w:rPr>
          <w:rFonts w:hint="eastAsia" w:eastAsia="仿宋"/>
          <w:color w:val="auto"/>
          <w:szCs w:val="28"/>
          <w:highlight w:val="none"/>
          <w:lang w:val="en-US" w:eastAsia="zh-CN"/>
        </w:rPr>
        <w:t>90</w:t>
      </w:r>
      <w:r>
        <w:rPr>
          <w:rFonts w:eastAsia="仿宋"/>
          <w:color w:val="auto"/>
          <w:szCs w:val="28"/>
          <w:highlight w:val="none"/>
        </w:rPr>
        <w:t>个单元工程，合格率</w:t>
      </w:r>
      <w:r>
        <w:rPr>
          <w:rFonts w:hint="eastAsia" w:eastAsia="仿宋"/>
          <w:color w:val="auto"/>
          <w:szCs w:val="28"/>
          <w:highlight w:val="none"/>
          <w:lang w:val="en-US" w:eastAsia="zh-CN"/>
        </w:rPr>
        <w:t>98.59</w:t>
      </w:r>
      <w:r>
        <w:rPr>
          <w:rFonts w:eastAsia="仿宋"/>
          <w:color w:val="auto"/>
          <w:szCs w:val="28"/>
          <w:highlight w:val="none"/>
        </w:rPr>
        <w:t>%。</w:t>
      </w:r>
    </w:p>
    <w:p w14:paraId="024BAA42">
      <w:pPr>
        <w:tabs>
          <w:tab w:val="left" w:pos="8280"/>
        </w:tabs>
        <w:ind w:firstLine="560"/>
        <w:rPr>
          <w:rFonts w:eastAsia="仿宋"/>
          <w:color w:val="auto"/>
          <w:szCs w:val="28"/>
        </w:rPr>
      </w:pPr>
      <w:r>
        <w:rPr>
          <w:rFonts w:eastAsia="仿宋"/>
          <w:color w:val="auto"/>
          <w:szCs w:val="28"/>
        </w:rPr>
        <w:t>已实施的水土保持设施监理划分及质量评定结果见表4-5。</w:t>
      </w:r>
    </w:p>
    <w:p w14:paraId="7B550078">
      <w:pPr>
        <w:pStyle w:val="20"/>
        <w:rPr>
          <w:color w:val="auto"/>
        </w:rPr>
      </w:pPr>
      <w:r>
        <w:rPr>
          <w:color w:val="auto"/>
        </w:rPr>
        <w:t>表4-5</w:t>
      </w:r>
      <w:r>
        <w:rPr>
          <w:rFonts w:hint="eastAsia"/>
          <w:color w:val="auto"/>
        </w:rPr>
        <w:t xml:space="preserve">  </w:t>
      </w:r>
      <w:r>
        <w:rPr>
          <w:color w:val="auto"/>
        </w:rPr>
        <w:t>已实施的水土保持设施质量评定结果表</w:t>
      </w:r>
    </w:p>
    <w:tbl>
      <w:tblPr>
        <w:tblStyle w:val="14"/>
        <w:tblW w:w="521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738"/>
        <w:gridCol w:w="1925"/>
        <w:gridCol w:w="1846"/>
        <w:gridCol w:w="582"/>
        <w:gridCol w:w="1067"/>
        <w:gridCol w:w="1010"/>
        <w:gridCol w:w="975"/>
      </w:tblGrid>
      <w:tr w14:paraId="5CA684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tcBorders>
              <w:tl2br w:val="nil"/>
              <w:tr2bl w:val="nil"/>
            </w:tcBorders>
            <w:vAlign w:val="center"/>
          </w:tcPr>
          <w:p w14:paraId="003FF8E3">
            <w:pPr>
              <w:pStyle w:val="18"/>
              <w:rPr>
                <w:color w:val="auto"/>
              </w:rPr>
            </w:pPr>
            <w:r>
              <w:rPr>
                <w:color w:val="auto"/>
              </w:rPr>
              <w:t>单位工程</w:t>
            </w:r>
          </w:p>
        </w:tc>
        <w:tc>
          <w:tcPr>
            <w:tcW w:w="1052" w:type="pct"/>
            <w:tcBorders>
              <w:tl2br w:val="nil"/>
              <w:tr2bl w:val="nil"/>
            </w:tcBorders>
            <w:vAlign w:val="center"/>
          </w:tcPr>
          <w:p w14:paraId="52634C91">
            <w:pPr>
              <w:pStyle w:val="18"/>
              <w:rPr>
                <w:color w:val="auto"/>
              </w:rPr>
            </w:pPr>
            <w:r>
              <w:rPr>
                <w:color w:val="auto"/>
              </w:rPr>
              <w:t>分部工程</w:t>
            </w:r>
          </w:p>
        </w:tc>
        <w:tc>
          <w:tcPr>
            <w:tcW w:w="1327" w:type="pct"/>
            <w:gridSpan w:val="2"/>
            <w:tcBorders>
              <w:tl2br w:val="nil"/>
              <w:tr2bl w:val="nil"/>
            </w:tcBorders>
            <w:vAlign w:val="center"/>
          </w:tcPr>
          <w:p w14:paraId="5FB8F4DF">
            <w:pPr>
              <w:pStyle w:val="18"/>
              <w:rPr>
                <w:color w:val="auto"/>
              </w:rPr>
            </w:pPr>
            <w:r>
              <w:rPr>
                <w:color w:val="auto"/>
              </w:rPr>
              <w:t>单元工程</w:t>
            </w:r>
          </w:p>
        </w:tc>
        <w:tc>
          <w:tcPr>
            <w:tcW w:w="583" w:type="pct"/>
            <w:tcBorders>
              <w:tl2br w:val="nil"/>
              <w:tr2bl w:val="nil"/>
            </w:tcBorders>
            <w:vAlign w:val="center"/>
          </w:tcPr>
          <w:p w14:paraId="56D28AEC">
            <w:pPr>
              <w:pStyle w:val="18"/>
              <w:rPr>
                <w:color w:val="auto"/>
              </w:rPr>
            </w:pPr>
            <w:r>
              <w:rPr>
                <w:color w:val="auto"/>
              </w:rPr>
              <w:t>核查数量</w:t>
            </w:r>
          </w:p>
        </w:tc>
        <w:tc>
          <w:tcPr>
            <w:tcW w:w="552" w:type="pct"/>
            <w:tcBorders>
              <w:tl2br w:val="nil"/>
              <w:tr2bl w:val="nil"/>
            </w:tcBorders>
            <w:vAlign w:val="center"/>
          </w:tcPr>
          <w:p w14:paraId="47BEFD3C">
            <w:pPr>
              <w:pStyle w:val="18"/>
              <w:rPr>
                <w:color w:val="auto"/>
              </w:rPr>
            </w:pPr>
            <w:r>
              <w:rPr>
                <w:color w:val="auto"/>
              </w:rPr>
              <w:t>核查比例</w:t>
            </w:r>
          </w:p>
        </w:tc>
        <w:tc>
          <w:tcPr>
            <w:tcW w:w="533" w:type="pct"/>
            <w:tcBorders>
              <w:tl2br w:val="nil"/>
              <w:tr2bl w:val="nil"/>
            </w:tcBorders>
            <w:vAlign w:val="center"/>
          </w:tcPr>
          <w:p w14:paraId="6AA95F05">
            <w:pPr>
              <w:pStyle w:val="18"/>
              <w:rPr>
                <w:color w:val="auto"/>
              </w:rPr>
            </w:pPr>
            <w:r>
              <w:rPr>
                <w:color w:val="auto"/>
              </w:rPr>
              <w:t>核查结果</w:t>
            </w:r>
          </w:p>
        </w:tc>
      </w:tr>
      <w:tr w14:paraId="79163C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950" w:type="pct"/>
            <w:vMerge w:val="restart"/>
            <w:tcBorders>
              <w:tl2br w:val="nil"/>
              <w:tr2bl w:val="nil"/>
            </w:tcBorders>
            <w:vAlign w:val="center"/>
          </w:tcPr>
          <w:p w14:paraId="293CD323">
            <w:pPr>
              <w:pStyle w:val="18"/>
              <w:rPr>
                <w:color w:val="auto"/>
              </w:rPr>
            </w:pPr>
            <w:r>
              <w:rPr>
                <w:color w:val="auto"/>
              </w:rPr>
              <w:t>土地整治工程</w:t>
            </w:r>
          </w:p>
        </w:tc>
        <w:tc>
          <w:tcPr>
            <w:tcW w:w="1052" w:type="pct"/>
            <w:tcBorders>
              <w:tl2br w:val="nil"/>
              <w:tr2bl w:val="nil"/>
            </w:tcBorders>
            <w:vAlign w:val="center"/>
          </w:tcPr>
          <w:p w14:paraId="5A203CEA">
            <w:pPr>
              <w:pStyle w:val="18"/>
              <w:rPr>
                <w:color w:val="auto"/>
              </w:rPr>
            </w:pPr>
            <w:r>
              <w:rPr>
                <w:rFonts w:hint="eastAsia"/>
                <w:color w:val="auto"/>
                <w:lang w:val="en-US" w:eastAsia="zh-CN"/>
              </w:rPr>
              <w:t>△</w:t>
            </w:r>
            <w:r>
              <w:rPr>
                <w:color w:val="auto"/>
              </w:rPr>
              <w:t>场地整治</w:t>
            </w:r>
          </w:p>
        </w:tc>
        <w:tc>
          <w:tcPr>
            <w:tcW w:w="1009" w:type="pct"/>
            <w:tcBorders>
              <w:tl2br w:val="nil"/>
              <w:tr2bl w:val="nil"/>
            </w:tcBorders>
            <w:vAlign w:val="center"/>
          </w:tcPr>
          <w:p w14:paraId="7F6D4743">
            <w:pPr>
              <w:pStyle w:val="18"/>
              <w:rPr>
                <w:color w:val="auto"/>
              </w:rPr>
            </w:pPr>
            <w:r>
              <w:rPr>
                <w:rFonts w:hint="eastAsia"/>
                <w:color w:val="auto"/>
              </w:rPr>
              <w:t>土地</w:t>
            </w:r>
            <w:r>
              <w:rPr>
                <w:color w:val="auto"/>
              </w:rPr>
              <w:t>整治</w:t>
            </w:r>
          </w:p>
        </w:tc>
        <w:tc>
          <w:tcPr>
            <w:tcW w:w="318" w:type="pct"/>
            <w:tcBorders>
              <w:tl2br w:val="nil"/>
              <w:tr2bl w:val="nil"/>
            </w:tcBorders>
            <w:vAlign w:val="center"/>
          </w:tcPr>
          <w:p w14:paraId="10B50465">
            <w:pPr>
              <w:pStyle w:val="18"/>
              <w:rPr>
                <w:rFonts w:hint="default" w:eastAsia="仿宋_GB2312"/>
                <w:color w:val="auto"/>
                <w:lang w:val="en-US" w:eastAsia="zh-CN"/>
              </w:rPr>
            </w:pPr>
            <w:r>
              <w:rPr>
                <w:rFonts w:hint="eastAsia"/>
                <w:color w:val="auto"/>
                <w:lang w:val="en-US" w:eastAsia="zh-CN"/>
              </w:rPr>
              <w:t>1</w:t>
            </w:r>
          </w:p>
        </w:tc>
        <w:tc>
          <w:tcPr>
            <w:tcW w:w="583" w:type="pct"/>
            <w:tcBorders>
              <w:tl2br w:val="nil"/>
              <w:tr2bl w:val="nil"/>
            </w:tcBorders>
            <w:vAlign w:val="center"/>
          </w:tcPr>
          <w:p w14:paraId="7E799B1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552" w:type="pct"/>
            <w:tcBorders>
              <w:tl2br w:val="nil"/>
              <w:tr2bl w:val="nil"/>
            </w:tcBorders>
            <w:vAlign w:val="center"/>
          </w:tcPr>
          <w:p w14:paraId="4EA8ACFF">
            <w:pPr>
              <w:pStyle w:val="18"/>
              <w:rPr>
                <w:color w:val="auto"/>
              </w:rPr>
            </w:pPr>
            <w:r>
              <w:rPr>
                <w:rFonts w:hint="eastAsia"/>
                <w:color w:val="auto"/>
              </w:rPr>
              <w:t>100%</w:t>
            </w:r>
          </w:p>
        </w:tc>
        <w:tc>
          <w:tcPr>
            <w:tcW w:w="533" w:type="pct"/>
            <w:tcBorders>
              <w:tl2br w:val="nil"/>
              <w:tr2bl w:val="nil"/>
            </w:tcBorders>
            <w:vAlign w:val="center"/>
          </w:tcPr>
          <w:p w14:paraId="77C5DCFD">
            <w:pPr>
              <w:pStyle w:val="18"/>
              <w:rPr>
                <w:color w:val="auto"/>
              </w:rPr>
            </w:pPr>
            <w:r>
              <w:rPr>
                <w:color w:val="auto"/>
              </w:rPr>
              <w:t>合格</w:t>
            </w:r>
          </w:p>
        </w:tc>
      </w:tr>
      <w:tr w14:paraId="477CFC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5AB4FA90">
            <w:pPr>
              <w:pStyle w:val="18"/>
              <w:rPr>
                <w:color w:val="auto"/>
              </w:rPr>
            </w:pPr>
          </w:p>
        </w:tc>
        <w:tc>
          <w:tcPr>
            <w:tcW w:w="1052" w:type="pct"/>
            <w:tcBorders>
              <w:tl2br w:val="nil"/>
              <w:tr2bl w:val="nil"/>
            </w:tcBorders>
            <w:vAlign w:val="center"/>
          </w:tcPr>
          <w:p w14:paraId="01CF3A0F">
            <w:pPr>
              <w:pStyle w:val="18"/>
              <w:rPr>
                <w:color w:val="auto"/>
              </w:rPr>
            </w:pPr>
            <w:r>
              <w:rPr>
                <w:rFonts w:hint="eastAsia"/>
                <w:color w:val="auto"/>
              </w:rPr>
              <w:t>覆土</w:t>
            </w:r>
          </w:p>
        </w:tc>
        <w:tc>
          <w:tcPr>
            <w:tcW w:w="1009" w:type="pct"/>
            <w:tcBorders>
              <w:tl2br w:val="nil"/>
              <w:tr2bl w:val="nil"/>
            </w:tcBorders>
            <w:vAlign w:val="center"/>
          </w:tcPr>
          <w:p w14:paraId="4464D1B4">
            <w:pPr>
              <w:pStyle w:val="18"/>
              <w:rPr>
                <w:color w:val="auto"/>
              </w:rPr>
            </w:pPr>
            <w:r>
              <w:rPr>
                <w:rFonts w:hint="eastAsia"/>
                <w:color w:val="auto"/>
                <w:lang w:val="en-US" w:eastAsia="zh-CN"/>
              </w:rPr>
              <w:t>覆盖</w:t>
            </w:r>
          </w:p>
        </w:tc>
        <w:tc>
          <w:tcPr>
            <w:tcW w:w="318" w:type="pct"/>
            <w:tcBorders>
              <w:tl2br w:val="nil"/>
              <w:tr2bl w:val="nil"/>
            </w:tcBorders>
            <w:vAlign w:val="center"/>
          </w:tcPr>
          <w:p w14:paraId="6A9F63F7">
            <w:pPr>
              <w:pStyle w:val="18"/>
              <w:rPr>
                <w:rFonts w:hint="default" w:eastAsia="仿宋_GB2312"/>
                <w:color w:val="auto"/>
                <w:lang w:val="en-US" w:eastAsia="zh-CN"/>
              </w:rPr>
            </w:pPr>
            <w:r>
              <w:rPr>
                <w:rFonts w:hint="eastAsia"/>
                <w:color w:val="auto"/>
                <w:lang w:val="en-US" w:eastAsia="zh-CN"/>
              </w:rPr>
              <w:t>1</w:t>
            </w:r>
          </w:p>
        </w:tc>
        <w:tc>
          <w:tcPr>
            <w:tcW w:w="583" w:type="pct"/>
            <w:tcBorders>
              <w:tl2br w:val="nil"/>
              <w:tr2bl w:val="nil"/>
            </w:tcBorders>
            <w:vAlign w:val="center"/>
          </w:tcPr>
          <w:p w14:paraId="5E5FA922">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552" w:type="pct"/>
            <w:tcBorders>
              <w:tl2br w:val="nil"/>
              <w:tr2bl w:val="nil"/>
            </w:tcBorders>
            <w:vAlign w:val="center"/>
          </w:tcPr>
          <w:p w14:paraId="66EA7409">
            <w:pPr>
              <w:pStyle w:val="18"/>
              <w:rPr>
                <w:color w:val="auto"/>
              </w:rPr>
            </w:pPr>
            <w:r>
              <w:rPr>
                <w:rFonts w:hint="eastAsia"/>
                <w:color w:val="auto"/>
              </w:rPr>
              <w:t>100%</w:t>
            </w:r>
          </w:p>
        </w:tc>
        <w:tc>
          <w:tcPr>
            <w:tcW w:w="533" w:type="pct"/>
            <w:tcBorders>
              <w:tl2br w:val="nil"/>
              <w:tr2bl w:val="nil"/>
            </w:tcBorders>
            <w:vAlign w:val="center"/>
          </w:tcPr>
          <w:p w14:paraId="6E2062A8">
            <w:pPr>
              <w:pStyle w:val="18"/>
              <w:rPr>
                <w:color w:val="auto"/>
              </w:rPr>
            </w:pPr>
            <w:r>
              <w:rPr>
                <w:color w:val="auto"/>
              </w:rPr>
              <w:t>合格</w:t>
            </w:r>
          </w:p>
        </w:tc>
      </w:tr>
      <w:tr w14:paraId="2B2B2E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29" w:hRule="atLeast"/>
          <w:jc w:val="center"/>
        </w:trPr>
        <w:tc>
          <w:tcPr>
            <w:tcW w:w="950" w:type="pct"/>
            <w:vMerge w:val="restart"/>
            <w:tcBorders>
              <w:tl2br w:val="nil"/>
              <w:tr2bl w:val="nil"/>
            </w:tcBorders>
            <w:vAlign w:val="center"/>
          </w:tcPr>
          <w:p w14:paraId="4B0B8732">
            <w:pPr>
              <w:pStyle w:val="18"/>
              <w:rPr>
                <w:color w:val="auto"/>
              </w:rPr>
            </w:pPr>
            <w:r>
              <w:rPr>
                <w:color w:val="auto"/>
              </w:rPr>
              <w:t>防洪排导工程</w:t>
            </w:r>
          </w:p>
        </w:tc>
        <w:tc>
          <w:tcPr>
            <w:tcW w:w="1052" w:type="pct"/>
            <w:vMerge w:val="restart"/>
            <w:tcBorders>
              <w:tl2br w:val="nil"/>
              <w:tr2bl w:val="nil"/>
            </w:tcBorders>
            <w:vAlign w:val="center"/>
          </w:tcPr>
          <w:p w14:paraId="2A4436A1">
            <w:pPr>
              <w:pStyle w:val="18"/>
              <w:rPr>
                <w:color w:val="auto"/>
              </w:rPr>
            </w:pPr>
            <w:r>
              <w:rPr>
                <w:color w:val="auto"/>
              </w:rPr>
              <w:t>排洪导流设施</w:t>
            </w:r>
          </w:p>
        </w:tc>
        <w:tc>
          <w:tcPr>
            <w:tcW w:w="1009" w:type="pct"/>
            <w:tcBorders>
              <w:tl2br w:val="nil"/>
              <w:tr2bl w:val="nil"/>
            </w:tcBorders>
            <w:vAlign w:val="center"/>
          </w:tcPr>
          <w:p w14:paraId="1A534F49">
            <w:pPr>
              <w:pStyle w:val="18"/>
              <w:rPr>
                <w:color w:val="auto"/>
              </w:rPr>
            </w:pPr>
            <w:r>
              <w:rPr>
                <w:rFonts w:hint="eastAsia"/>
                <w:color w:val="auto"/>
              </w:rPr>
              <w:t>雨水管网</w:t>
            </w:r>
          </w:p>
        </w:tc>
        <w:tc>
          <w:tcPr>
            <w:tcW w:w="318" w:type="pct"/>
            <w:tcBorders>
              <w:tl2br w:val="nil"/>
              <w:tr2bl w:val="nil"/>
            </w:tcBorders>
            <w:vAlign w:val="center"/>
          </w:tcPr>
          <w:p w14:paraId="2AD2E773">
            <w:pPr>
              <w:pStyle w:val="18"/>
              <w:rPr>
                <w:rFonts w:hint="default" w:eastAsia="仿宋_GB2312"/>
                <w:color w:val="auto"/>
                <w:lang w:val="en-US" w:eastAsia="zh-CN"/>
              </w:rPr>
            </w:pPr>
            <w:r>
              <w:rPr>
                <w:rFonts w:hint="eastAsia"/>
                <w:color w:val="auto"/>
                <w:lang w:val="en-US" w:eastAsia="zh-CN"/>
              </w:rPr>
              <w:t>9</w:t>
            </w:r>
          </w:p>
        </w:tc>
        <w:tc>
          <w:tcPr>
            <w:tcW w:w="583" w:type="pct"/>
            <w:tcBorders>
              <w:tl2br w:val="nil"/>
              <w:tr2bl w:val="nil"/>
            </w:tcBorders>
            <w:vAlign w:val="center"/>
          </w:tcPr>
          <w:p w14:paraId="469C9AE6">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color w:val="auto"/>
                <w:lang w:val="en-US"/>
              </w:rPr>
            </w:pPr>
            <w:r>
              <w:rPr>
                <w:rFonts w:hint="default" w:ascii="Times New Roman" w:hAnsi="Times New Roman" w:eastAsia="宋体" w:cs="Times New Roman"/>
                <w:i w:val="0"/>
                <w:iCs w:val="0"/>
                <w:color w:val="auto"/>
                <w:kern w:val="0"/>
                <w:sz w:val="24"/>
                <w:szCs w:val="24"/>
                <w:u w:val="none"/>
                <w:lang w:val="en-US" w:eastAsia="zh-CN" w:bidi="ar"/>
              </w:rPr>
              <w:t>9</w:t>
            </w:r>
          </w:p>
        </w:tc>
        <w:tc>
          <w:tcPr>
            <w:tcW w:w="552" w:type="pct"/>
            <w:tcBorders>
              <w:tl2br w:val="nil"/>
              <w:tr2bl w:val="nil"/>
            </w:tcBorders>
            <w:vAlign w:val="center"/>
          </w:tcPr>
          <w:p w14:paraId="0BBB0776">
            <w:pPr>
              <w:pStyle w:val="18"/>
              <w:rPr>
                <w:color w:val="auto"/>
              </w:rPr>
            </w:pPr>
            <w:r>
              <w:rPr>
                <w:rFonts w:hint="eastAsia"/>
                <w:color w:val="auto"/>
              </w:rPr>
              <w:t>100%</w:t>
            </w:r>
          </w:p>
        </w:tc>
        <w:tc>
          <w:tcPr>
            <w:tcW w:w="533" w:type="pct"/>
            <w:tcBorders>
              <w:tl2br w:val="nil"/>
              <w:tr2bl w:val="nil"/>
            </w:tcBorders>
            <w:vAlign w:val="center"/>
          </w:tcPr>
          <w:p w14:paraId="3F259FF9">
            <w:pPr>
              <w:pStyle w:val="18"/>
              <w:rPr>
                <w:color w:val="auto"/>
              </w:rPr>
            </w:pPr>
            <w:r>
              <w:rPr>
                <w:color w:val="auto"/>
              </w:rPr>
              <w:t>合格</w:t>
            </w:r>
          </w:p>
        </w:tc>
      </w:tr>
      <w:tr w14:paraId="222834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29" w:hRule="atLeast"/>
          <w:jc w:val="center"/>
        </w:trPr>
        <w:tc>
          <w:tcPr>
            <w:tcW w:w="950" w:type="pct"/>
            <w:vMerge w:val="continue"/>
            <w:tcBorders>
              <w:tl2br w:val="nil"/>
              <w:tr2bl w:val="nil"/>
            </w:tcBorders>
            <w:vAlign w:val="center"/>
          </w:tcPr>
          <w:p w14:paraId="5DB0A469">
            <w:pPr>
              <w:pStyle w:val="18"/>
              <w:rPr>
                <w:color w:val="auto"/>
              </w:rPr>
            </w:pPr>
          </w:p>
        </w:tc>
        <w:tc>
          <w:tcPr>
            <w:tcW w:w="1052" w:type="pct"/>
            <w:vMerge w:val="continue"/>
            <w:tcBorders>
              <w:tl2br w:val="nil"/>
              <w:tr2bl w:val="nil"/>
            </w:tcBorders>
            <w:vAlign w:val="center"/>
          </w:tcPr>
          <w:p w14:paraId="5992A5D4">
            <w:pPr>
              <w:pStyle w:val="18"/>
              <w:rPr>
                <w:color w:val="auto"/>
              </w:rPr>
            </w:pPr>
          </w:p>
        </w:tc>
        <w:tc>
          <w:tcPr>
            <w:tcW w:w="1009" w:type="pct"/>
            <w:tcBorders>
              <w:tl2br w:val="nil"/>
              <w:tr2bl w:val="nil"/>
            </w:tcBorders>
            <w:vAlign w:val="center"/>
          </w:tcPr>
          <w:p w14:paraId="7DC9BCAD">
            <w:pPr>
              <w:pStyle w:val="18"/>
              <w:rPr>
                <w:rFonts w:hint="eastAsia" w:eastAsia="仿宋_GB2312"/>
                <w:color w:val="auto"/>
                <w:lang w:val="en-US" w:eastAsia="zh-CN"/>
              </w:rPr>
            </w:pPr>
            <w:r>
              <w:rPr>
                <w:rFonts w:hint="eastAsia"/>
                <w:color w:val="auto"/>
                <w:lang w:val="en-US" w:eastAsia="zh-CN"/>
              </w:rPr>
              <w:t>排水沟</w:t>
            </w:r>
          </w:p>
        </w:tc>
        <w:tc>
          <w:tcPr>
            <w:tcW w:w="318" w:type="pct"/>
            <w:tcBorders>
              <w:tl2br w:val="nil"/>
              <w:tr2bl w:val="nil"/>
            </w:tcBorders>
            <w:vAlign w:val="center"/>
          </w:tcPr>
          <w:p w14:paraId="7B421543">
            <w:pPr>
              <w:pStyle w:val="18"/>
              <w:rPr>
                <w:rFonts w:hint="default" w:eastAsia="仿宋_GB2312"/>
                <w:color w:val="auto"/>
                <w:lang w:val="en-US" w:eastAsia="zh-CN"/>
              </w:rPr>
            </w:pPr>
            <w:r>
              <w:rPr>
                <w:rFonts w:hint="eastAsia"/>
                <w:color w:val="auto"/>
                <w:lang w:val="en-US" w:eastAsia="zh-CN"/>
              </w:rPr>
              <w:t>4</w:t>
            </w:r>
          </w:p>
        </w:tc>
        <w:tc>
          <w:tcPr>
            <w:tcW w:w="583" w:type="pct"/>
            <w:tcBorders>
              <w:tl2br w:val="nil"/>
              <w:tr2bl w:val="nil"/>
            </w:tcBorders>
            <w:vAlign w:val="center"/>
          </w:tcPr>
          <w:p w14:paraId="22DE254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color w:val="auto"/>
                <w:lang w:val="en-US"/>
              </w:rPr>
            </w:pPr>
            <w:r>
              <w:rPr>
                <w:rFonts w:hint="default" w:ascii="Times New Roman" w:hAnsi="Times New Roman" w:eastAsia="宋体" w:cs="Times New Roman"/>
                <w:i w:val="0"/>
                <w:iCs w:val="0"/>
                <w:color w:val="auto"/>
                <w:kern w:val="0"/>
                <w:sz w:val="24"/>
                <w:szCs w:val="24"/>
                <w:u w:val="none"/>
                <w:lang w:val="en-US" w:eastAsia="zh-CN" w:bidi="ar"/>
              </w:rPr>
              <w:t>4</w:t>
            </w:r>
          </w:p>
        </w:tc>
        <w:tc>
          <w:tcPr>
            <w:tcW w:w="552" w:type="pct"/>
            <w:tcBorders>
              <w:tl2br w:val="nil"/>
              <w:tr2bl w:val="nil"/>
            </w:tcBorders>
            <w:vAlign w:val="center"/>
          </w:tcPr>
          <w:p w14:paraId="19141469">
            <w:pPr>
              <w:pStyle w:val="18"/>
              <w:rPr>
                <w:rFonts w:hint="eastAsia"/>
                <w:color w:val="auto"/>
              </w:rPr>
            </w:pPr>
            <w:r>
              <w:rPr>
                <w:rFonts w:hint="eastAsia"/>
                <w:color w:val="auto"/>
              </w:rPr>
              <w:t>100%</w:t>
            </w:r>
          </w:p>
        </w:tc>
        <w:tc>
          <w:tcPr>
            <w:tcW w:w="533" w:type="pct"/>
            <w:tcBorders>
              <w:tl2br w:val="nil"/>
              <w:tr2bl w:val="nil"/>
            </w:tcBorders>
            <w:vAlign w:val="center"/>
          </w:tcPr>
          <w:p w14:paraId="5232E7BF">
            <w:pPr>
              <w:pStyle w:val="18"/>
              <w:rPr>
                <w:color w:val="auto"/>
              </w:rPr>
            </w:pPr>
            <w:r>
              <w:rPr>
                <w:color w:val="auto"/>
              </w:rPr>
              <w:t>合格</w:t>
            </w:r>
          </w:p>
        </w:tc>
      </w:tr>
      <w:tr w14:paraId="396440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restart"/>
            <w:tcBorders>
              <w:tl2br w:val="nil"/>
              <w:tr2bl w:val="nil"/>
            </w:tcBorders>
            <w:vAlign w:val="center"/>
          </w:tcPr>
          <w:p w14:paraId="6757BE6A">
            <w:pPr>
              <w:pStyle w:val="18"/>
              <w:rPr>
                <w:color w:val="auto"/>
              </w:rPr>
            </w:pPr>
            <w:r>
              <w:rPr>
                <w:color w:val="auto"/>
              </w:rPr>
              <w:t>临时防护工程</w:t>
            </w:r>
          </w:p>
        </w:tc>
        <w:tc>
          <w:tcPr>
            <w:tcW w:w="1052" w:type="pct"/>
            <w:vMerge w:val="restart"/>
            <w:tcBorders>
              <w:tl2br w:val="nil"/>
              <w:tr2bl w:val="nil"/>
            </w:tcBorders>
            <w:vAlign w:val="center"/>
          </w:tcPr>
          <w:p w14:paraId="50308452">
            <w:pPr>
              <w:pStyle w:val="18"/>
              <w:rPr>
                <w:color w:val="auto"/>
              </w:rPr>
            </w:pPr>
            <w:r>
              <w:rPr>
                <w:color w:val="auto"/>
              </w:rPr>
              <w:t>沉沙</w:t>
            </w:r>
          </w:p>
        </w:tc>
        <w:tc>
          <w:tcPr>
            <w:tcW w:w="1009" w:type="pct"/>
            <w:tcBorders>
              <w:tl2br w:val="nil"/>
              <w:tr2bl w:val="nil"/>
            </w:tcBorders>
            <w:vAlign w:val="center"/>
          </w:tcPr>
          <w:p w14:paraId="57EC543A">
            <w:pPr>
              <w:pStyle w:val="18"/>
              <w:rPr>
                <w:color w:val="auto"/>
              </w:rPr>
            </w:pPr>
            <w:r>
              <w:rPr>
                <w:rFonts w:hint="eastAsia"/>
                <w:color w:val="auto"/>
              </w:rPr>
              <w:t>沉沙池</w:t>
            </w:r>
          </w:p>
        </w:tc>
        <w:tc>
          <w:tcPr>
            <w:tcW w:w="318" w:type="pct"/>
            <w:tcBorders>
              <w:tl2br w:val="nil"/>
              <w:tr2bl w:val="nil"/>
            </w:tcBorders>
            <w:vAlign w:val="center"/>
          </w:tcPr>
          <w:p w14:paraId="1779E615">
            <w:pPr>
              <w:pStyle w:val="18"/>
              <w:rPr>
                <w:rFonts w:hint="default" w:eastAsia="仿宋_GB2312"/>
                <w:color w:val="auto"/>
                <w:lang w:val="en-US" w:eastAsia="zh-CN"/>
              </w:rPr>
            </w:pPr>
            <w:r>
              <w:rPr>
                <w:rFonts w:hint="eastAsia"/>
                <w:color w:val="auto"/>
                <w:lang w:val="en-US" w:eastAsia="zh-CN"/>
              </w:rPr>
              <w:t>4</w:t>
            </w:r>
          </w:p>
        </w:tc>
        <w:tc>
          <w:tcPr>
            <w:tcW w:w="583" w:type="pct"/>
            <w:tcBorders>
              <w:tl2br w:val="nil"/>
              <w:tr2bl w:val="nil"/>
            </w:tcBorders>
            <w:vAlign w:val="center"/>
          </w:tcPr>
          <w:p w14:paraId="2F28429C">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auto"/>
                <w:kern w:val="0"/>
                <w:sz w:val="24"/>
                <w:szCs w:val="24"/>
                <w:u w:val="none"/>
                <w:lang w:val="en-US" w:eastAsia="zh-CN" w:bidi="ar"/>
              </w:rPr>
              <w:t>4</w:t>
            </w:r>
          </w:p>
        </w:tc>
        <w:tc>
          <w:tcPr>
            <w:tcW w:w="552" w:type="pct"/>
            <w:tcBorders>
              <w:tl2br w:val="nil"/>
              <w:tr2bl w:val="nil"/>
            </w:tcBorders>
            <w:vAlign w:val="center"/>
          </w:tcPr>
          <w:p w14:paraId="41189D1C">
            <w:pPr>
              <w:pStyle w:val="18"/>
              <w:rPr>
                <w:rFonts w:hint="eastAsia"/>
                <w:color w:val="auto"/>
              </w:rPr>
            </w:pPr>
            <w:r>
              <w:rPr>
                <w:rFonts w:hint="eastAsia"/>
                <w:color w:val="auto"/>
              </w:rPr>
              <w:t>100%</w:t>
            </w:r>
          </w:p>
        </w:tc>
        <w:tc>
          <w:tcPr>
            <w:tcW w:w="533" w:type="pct"/>
            <w:tcBorders>
              <w:tl2br w:val="nil"/>
              <w:tr2bl w:val="nil"/>
            </w:tcBorders>
            <w:vAlign w:val="center"/>
          </w:tcPr>
          <w:p w14:paraId="04C82CAE">
            <w:pPr>
              <w:pStyle w:val="18"/>
              <w:rPr>
                <w:color w:val="auto"/>
              </w:rPr>
            </w:pPr>
            <w:r>
              <w:rPr>
                <w:color w:val="auto"/>
              </w:rPr>
              <w:t>合格</w:t>
            </w:r>
          </w:p>
        </w:tc>
      </w:tr>
      <w:tr w14:paraId="1BFA15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26BB63E5">
            <w:pPr>
              <w:pStyle w:val="18"/>
              <w:rPr>
                <w:color w:val="auto"/>
              </w:rPr>
            </w:pPr>
          </w:p>
        </w:tc>
        <w:tc>
          <w:tcPr>
            <w:tcW w:w="1052" w:type="pct"/>
            <w:vMerge w:val="continue"/>
            <w:tcBorders>
              <w:tl2br w:val="nil"/>
              <w:tr2bl w:val="nil"/>
            </w:tcBorders>
            <w:vAlign w:val="center"/>
          </w:tcPr>
          <w:p w14:paraId="68F170A5">
            <w:pPr>
              <w:pStyle w:val="18"/>
              <w:rPr>
                <w:color w:val="auto"/>
              </w:rPr>
            </w:pPr>
          </w:p>
        </w:tc>
        <w:tc>
          <w:tcPr>
            <w:tcW w:w="1009" w:type="pct"/>
            <w:tcBorders>
              <w:tl2br w:val="nil"/>
              <w:tr2bl w:val="nil"/>
            </w:tcBorders>
            <w:vAlign w:val="center"/>
          </w:tcPr>
          <w:p w14:paraId="26BF7C37">
            <w:pPr>
              <w:pStyle w:val="18"/>
              <w:rPr>
                <w:rFonts w:hint="eastAsia" w:eastAsia="仿宋_GB2312"/>
                <w:color w:val="auto"/>
                <w:lang w:val="en-US" w:eastAsia="zh-CN"/>
              </w:rPr>
            </w:pPr>
            <w:r>
              <w:rPr>
                <w:rFonts w:hint="eastAsia"/>
                <w:color w:val="auto"/>
                <w:lang w:val="en-US" w:eastAsia="zh-CN"/>
              </w:rPr>
              <w:t>集水井</w:t>
            </w:r>
          </w:p>
        </w:tc>
        <w:tc>
          <w:tcPr>
            <w:tcW w:w="318" w:type="pct"/>
            <w:tcBorders>
              <w:tl2br w:val="nil"/>
              <w:tr2bl w:val="nil"/>
            </w:tcBorders>
            <w:vAlign w:val="center"/>
          </w:tcPr>
          <w:p w14:paraId="6E67DE23">
            <w:pPr>
              <w:pStyle w:val="18"/>
              <w:rPr>
                <w:rFonts w:hint="default"/>
                <w:color w:val="auto"/>
                <w:lang w:val="en-US" w:eastAsia="zh-CN"/>
              </w:rPr>
            </w:pPr>
            <w:r>
              <w:rPr>
                <w:rFonts w:hint="eastAsia"/>
                <w:color w:val="auto"/>
                <w:lang w:val="en-US" w:eastAsia="zh-CN"/>
              </w:rPr>
              <w:t>14</w:t>
            </w:r>
          </w:p>
        </w:tc>
        <w:tc>
          <w:tcPr>
            <w:tcW w:w="583" w:type="pct"/>
            <w:tcBorders>
              <w:tl2br w:val="nil"/>
              <w:tr2bl w:val="nil"/>
            </w:tcBorders>
            <w:vAlign w:val="center"/>
          </w:tcPr>
          <w:p w14:paraId="17A071F3">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auto"/>
                <w:kern w:val="0"/>
                <w:sz w:val="24"/>
                <w:szCs w:val="24"/>
                <w:u w:val="none"/>
                <w:lang w:val="en-US" w:eastAsia="zh-CN" w:bidi="ar"/>
              </w:rPr>
              <w:t>14</w:t>
            </w:r>
          </w:p>
        </w:tc>
        <w:tc>
          <w:tcPr>
            <w:tcW w:w="552" w:type="pct"/>
            <w:tcBorders>
              <w:tl2br w:val="nil"/>
              <w:tr2bl w:val="nil"/>
            </w:tcBorders>
            <w:vAlign w:val="center"/>
          </w:tcPr>
          <w:p w14:paraId="4A293DAF">
            <w:pPr>
              <w:pStyle w:val="18"/>
              <w:rPr>
                <w:rFonts w:hint="eastAsia"/>
                <w:color w:val="auto"/>
              </w:rPr>
            </w:pPr>
            <w:r>
              <w:rPr>
                <w:rFonts w:hint="eastAsia"/>
                <w:color w:val="auto"/>
              </w:rPr>
              <w:t>100%</w:t>
            </w:r>
          </w:p>
        </w:tc>
        <w:tc>
          <w:tcPr>
            <w:tcW w:w="533" w:type="pct"/>
            <w:tcBorders>
              <w:tl2br w:val="nil"/>
              <w:tr2bl w:val="nil"/>
            </w:tcBorders>
            <w:vAlign w:val="center"/>
          </w:tcPr>
          <w:p w14:paraId="13C7B369">
            <w:pPr>
              <w:pStyle w:val="18"/>
              <w:rPr>
                <w:color w:val="auto"/>
              </w:rPr>
            </w:pPr>
            <w:r>
              <w:rPr>
                <w:color w:val="auto"/>
              </w:rPr>
              <w:t>合格</w:t>
            </w:r>
          </w:p>
        </w:tc>
      </w:tr>
      <w:tr w14:paraId="04E499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11AA89C8">
            <w:pPr>
              <w:pStyle w:val="18"/>
              <w:rPr>
                <w:color w:val="auto"/>
              </w:rPr>
            </w:pPr>
          </w:p>
        </w:tc>
        <w:tc>
          <w:tcPr>
            <w:tcW w:w="1052" w:type="pct"/>
            <w:vMerge w:val="continue"/>
            <w:tcBorders>
              <w:tl2br w:val="nil"/>
              <w:tr2bl w:val="nil"/>
            </w:tcBorders>
            <w:vAlign w:val="center"/>
          </w:tcPr>
          <w:p w14:paraId="6A06383F">
            <w:pPr>
              <w:pStyle w:val="18"/>
              <w:rPr>
                <w:color w:val="auto"/>
              </w:rPr>
            </w:pPr>
          </w:p>
        </w:tc>
        <w:tc>
          <w:tcPr>
            <w:tcW w:w="1009" w:type="pct"/>
            <w:tcBorders>
              <w:tl2br w:val="nil"/>
              <w:tr2bl w:val="nil"/>
            </w:tcBorders>
            <w:vAlign w:val="center"/>
          </w:tcPr>
          <w:p w14:paraId="26F56E36">
            <w:pPr>
              <w:pStyle w:val="18"/>
              <w:rPr>
                <w:rFonts w:hint="default"/>
                <w:color w:val="auto"/>
                <w:lang w:val="en-US" w:eastAsia="zh-CN"/>
              </w:rPr>
            </w:pPr>
            <w:r>
              <w:rPr>
                <w:rFonts w:hint="eastAsia"/>
                <w:color w:val="auto"/>
                <w:lang w:val="en-US" w:eastAsia="zh-CN"/>
              </w:rPr>
              <w:t>泥浆沉淀池</w:t>
            </w:r>
          </w:p>
        </w:tc>
        <w:tc>
          <w:tcPr>
            <w:tcW w:w="318" w:type="pct"/>
            <w:tcBorders>
              <w:tl2br w:val="nil"/>
              <w:tr2bl w:val="nil"/>
            </w:tcBorders>
            <w:vAlign w:val="center"/>
          </w:tcPr>
          <w:p w14:paraId="233252AF">
            <w:pPr>
              <w:pStyle w:val="18"/>
              <w:rPr>
                <w:rFonts w:hint="default"/>
                <w:color w:val="auto"/>
                <w:lang w:val="en-US" w:eastAsia="zh-CN"/>
              </w:rPr>
            </w:pPr>
            <w:r>
              <w:rPr>
                <w:rFonts w:hint="eastAsia"/>
                <w:color w:val="auto"/>
                <w:lang w:val="en-US" w:eastAsia="zh-CN"/>
              </w:rPr>
              <w:t>20</w:t>
            </w:r>
          </w:p>
        </w:tc>
        <w:tc>
          <w:tcPr>
            <w:tcW w:w="583" w:type="pct"/>
            <w:tcBorders>
              <w:tl2br w:val="nil"/>
              <w:tr2bl w:val="nil"/>
            </w:tcBorders>
            <w:vAlign w:val="center"/>
          </w:tcPr>
          <w:p w14:paraId="5015F6B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auto"/>
                <w:kern w:val="0"/>
                <w:sz w:val="24"/>
                <w:szCs w:val="24"/>
                <w:u w:val="none"/>
                <w:lang w:val="en-US" w:eastAsia="zh-CN" w:bidi="ar"/>
              </w:rPr>
              <w:t>20</w:t>
            </w:r>
          </w:p>
        </w:tc>
        <w:tc>
          <w:tcPr>
            <w:tcW w:w="552" w:type="pct"/>
            <w:tcBorders>
              <w:tl2br w:val="nil"/>
              <w:tr2bl w:val="nil"/>
            </w:tcBorders>
            <w:vAlign w:val="center"/>
          </w:tcPr>
          <w:p w14:paraId="1790CBA3">
            <w:pPr>
              <w:pStyle w:val="18"/>
              <w:rPr>
                <w:rFonts w:hint="eastAsia"/>
                <w:color w:val="auto"/>
              </w:rPr>
            </w:pPr>
            <w:r>
              <w:rPr>
                <w:rFonts w:hint="eastAsia"/>
                <w:color w:val="auto"/>
              </w:rPr>
              <w:t>100%</w:t>
            </w:r>
          </w:p>
        </w:tc>
        <w:tc>
          <w:tcPr>
            <w:tcW w:w="533" w:type="pct"/>
            <w:tcBorders>
              <w:tl2br w:val="nil"/>
              <w:tr2bl w:val="nil"/>
            </w:tcBorders>
            <w:vAlign w:val="center"/>
          </w:tcPr>
          <w:p w14:paraId="10B75534">
            <w:pPr>
              <w:pStyle w:val="18"/>
              <w:rPr>
                <w:color w:val="auto"/>
              </w:rPr>
            </w:pPr>
            <w:r>
              <w:rPr>
                <w:color w:val="auto"/>
              </w:rPr>
              <w:t>合格</w:t>
            </w:r>
          </w:p>
        </w:tc>
      </w:tr>
      <w:tr w14:paraId="390EC5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4A59DEAF">
            <w:pPr>
              <w:pStyle w:val="18"/>
              <w:rPr>
                <w:color w:val="auto"/>
              </w:rPr>
            </w:pPr>
          </w:p>
        </w:tc>
        <w:tc>
          <w:tcPr>
            <w:tcW w:w="1052" w:type="pct"/>
            <w:vMerge w:val="continue"/>
            <w:tcBorders>
              <w:tl2br w:val="nil"/>
              <w:tr2bl w:val="nil"/>
            </w:tcBorders>
            <w:vAlign w:val="center"/>
          </w:tcPr>
          <w:p w14:paraId="69CEF952">
            <w:pPr>
              <w:pStyle w:val="18"/>
              <w:rPr>
                <w:color w:val="auto"/>
              </w:rPr>
            </w:pPr>
          </w:p>
        </w:tc>
        <w:tc>
          <w:tcPr>
            <w:tcW w:w="1009" w:type="pct"/>
            <w:tcBorders>
              <w:tl2br w:val="nil"/>
              <w:tr2bl w:val="nil"/>
            </w:tcBorders>
            <w:vAlign w:val="center"/>
          </w:tcPr>
          <w:p w14:paraId="32C41A2F">
            <w:pPr>
              <w:pStyle w:val="18"/>
              <w:rPr>
                <w:rFonts w:hint="default"/>
                <w:color w:val="auto"/>
                <w:lang w:val="en-US" w:eastAsia="zh-CN"/>
              </w:rPr>
            </w:pPr>
            <w:r>
              <w:rPr>
                <w:rFonts w:hint="eastAsia"/>
                <w:color w:val="auto"/>
                <w:lang w:val="en-US" w:eastAsia="zh-CN"/>
              </w:rPr>
              <w:t>洗车台</w:t>
            </w:r>
          </w:p>
        </w:tc>
        <w:tc>
          <w:tcPr>
            <w:tcW w:w="318" w:type="pct"/>
            <w:tcBorders>
              <w:tl2br w:val="nil"/>
              <w:tr2bl w:val="nil"/>
            </w:tcBorders>
            <w:vAlign w:val="center"/>
          </w:tcPr>
          <w:p w14:paraId="47E57D0E">
            <w:pPr>
              <w:pStyle w:val="18"/>
              <w:rPr>
                <w:rFonts w:hint="default"/>
                <w:color w:val="auto"/>
                <w:lang w:val="en-US" w:eastAsia="zh-CN"/>
              </w:rPr>
            </w:pPr>
            <w:r>
              <w:rPr>
                <w:rFonts w:hint="eastAsia"/>
                <w:color w:val="auto"/>
                <w:lang w:val="en-US" w:eastAsia="zh-CN"/>
              </w:rPr>
              <w:t>1</w:t>
            </w:r>
          </w:p>
        </w:tc>
        <w:tc>
          <w:tcPr>
            <w:tcW w:w="583" w:type="pct"/>
            <w:tcBorders>
              <w:tl2br w:val="nil"/>
              <w:tr2bl w:val="nil"/>
            </w:tcBorders>
            <w:vAlign w:val="center"/>
          </w:tcPr>
          <w:p w14:paraId="71620AE9">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eastAsia" w:eastAsia="宋体" w:cs="Times New Roman"/>
                <w:i w:val="0"/>
                <w:iCs w:val="0"/>
                <w:color w:val="auto"/>
                <w:kern w:val="0"/>
                <w:sz w:val="24"/>
                <w:szCs w:val="24"/>
                <w:u w:val="none"/>
                <w:lang w:val="en-US" w:eastAsia="zh-CN" w:bidi="ar"/>
              </w:rPr>
              <w:t>1</w:t>
            </w:r>
          </w:p>
        </w:tc>
        <w:tc>
          <w:tcPr>
            <w:tcW w:w="552" w:type="pct"/>
            <w:tcBorders>
              <w:tl2br w:val="nil"/>
              <w:tr2bl w:val="nil"/>
            </w:tcBorders>
            <w:vAlign w:val="center"/>
          </w:tcPr>
          <w:p w14:paraId="29D6FD36">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159DB808">
            <w:pPr>
              <w:pStyle w:val="18"/>
              <w:ind w:firstLine="0" w:firstLineChars="0"/>
              <w:rPr>
                <w:color w:val="auto"/>
              </w:rPr>
            </w:pPr>
            <w:r>
              <w:rPr>
                <w:color w:val="auto"/>
              </w:rPr>
              <w:t>合格</w:t>
            </w:r>
          </w:p>
        </w:tc>
      </w:tr>
      <w:tr w14:paraId="4CC4F0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6FD66496">
            <w:pPr>
              <w:pStyle w:val="18"/>
              <w:rPr>
                <w:color w:val="auto"/>
              </w:rPr>
            </w:pPr>
          </w:p>
        </w:tc>
        <w:tc>
          <w:tcPr>
            <w:tcW w:w="1052" w:type="pct"/>
            <w:vMerge w:val="restart"/>
            <w:tcBorders>
              <w:tl2br w:val="nil"/>
              <w:tr2bl w:val="nil"/>
            </w:tcBorders>
            <w:vAlign w:val="center"/>
          </w:tcPr>
          <w:p w14:paraId="7D27F25A">
            <w:pPr>
              <w:pStyle w:val="18"/>
              <w:rPr>
                <w:rFonts w:hint="default" w:eastAsia="仿宋_GB2312"/>
                <w:color w:val="auto"/>
                <w:lang w:val="en-US" w:eastAsia="zh-CN"/>
              </w:rPr>
            </w:pPr>
            <w:r>
              <w:rPr>
                <w:rFonts w:hint="eastAsia"/>
                <w:color w:val="auto"/>
                <w:lang w:val="en-US" w:eastAsia="zh-CN"/>
              </w:rPr>
              <w:t>△排水</w:t>
            </w:r>
          </w:p>
        </w:tc>
        <w:tc>
          <w:tcPr>
            <w:tcW w:w="1009" w:type="pct"/>
            <w:tcBorders>
              <w:tl2br w:val="nil"/>
              <w:tr2bl w:val="nil"/>
            </w:tcBorders>
            <w:vAlign w:val="center"/>
          </w:tcPr>
          <w:p w14:paraId="49169A05">
            <w:pPr>
              <w:pStyle w:val="18"/>
              <w:rPr>
                <w:color w:val="auto"/>
              </w:rPr>
            </w:pPr>
            <w:r>
              <w:rPr>
                <w:rFonts w:hint="eastAsia"/>
                <w:color w:val="auto"/>
                <w:lang w:val="en-US" w:eastAsia="zh-CN"/>
              </w:rPr>
              <w:t>基坑</w:t>
            </w:r>
            <w:r>
              <w:rPr>
                <w:color w:val="auto"/>
              </w:rPr>
              <w:t>排水沟</w:t>
            </w:r>
          </w:p>
        </w:tc>
        <w:tc>
          <w:tcPr>
            <w:tcW w:w="318" w:type="pct"/>
            <w:tcBorders>
              <w:tl2br w:val="nil"/>
              <w:tr2bl w:val="nil"/>
            </w:tcBorders>
            <w:vAlign w:val="center"/>
          </w:tcPr>
          <w:p w14:paraId="29C0E2D2">
            <w:pPr>
              <w:pStyle w:val="18"/>
              <w:rPr>
                <w:rFonts w:hint="default" w:eastAsia="仿宋_GB2312"/>
                <w:color w:val="auto"/>
                <w:lang w:val="en-US" w:eastAsia="zh-CN"/>
              </w:rPr>
            </w:pPr>
            <w:r>
              <w:rPr>
                <w:rFonts w:hint="eastAsia"/>
                <w:color w:val="auto"/>
                <w:lang w:val="en-US" w:eastAsia="zh-CN"/>
              </w:rPr>
              <w:t>6</w:t>
            </w:r>
          </w:p>
        </w:tc>
        <w:tc>
          <w:tcPr>
            <w:tcW w:w="583" w:type="pct"/>
            <w:tcBorders>
              <w:tl2br w:val="nil"/>
              <w:tr2bl w:val="nil"/>
            </w:tcBorders>
            <w:vAlign w:val="center"/>
          </w:tcPr>
          <w:p w14:paraId="3EA5F0B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auto"/>
                <w:kern w:val="0"/>
                <w:sz w:val="24"/>
                <w:szCs w:val="24"/>
                <w:u w:val="none"/>
                <w:lang w:val="en-US" w:eastAsia="zh-CN" w:bidi="ar"/>
              </w:rPr>
              <w:t>6</w:t>
            </w:r>
          </w:p>
        </w:tc>
        <w:tc>
          <w:tcPr>
            <w:tcW w:w="552" w:type="pct"/>
            <w:tcBorders>
              <w:tl2br w:val="nil"/>
              <w:tr2bl w:val="nil"/>
            </w:tcBorders>
            <w:vAlign w:val="center"/>
          </w:tcPr>
          <w:p w14:paraId="1B33E16A">
            <w:pPr>
              <w:pStyle w:val="18"/>
              <w:rPr>
                <w:color w:val="auto"/>
              </w:rPr>
            </w:pPr>
            <w:r>
              <w:rPr>
                <w:rFonts w:hint="eastAsia"/>
                <w:color w:val="auto"/>
              </w:rPr>
              <w:t>100%</w:t>
            </w:r>
          </w:p>
        </w:tc>
        <w:tc>
          <w:tcPr>
            <w:tcW w:w="533" w:type="pct"/>
            <w:tcBorders>
              <w:tl2br w:val="nil"/>
              <w:tr2bl w:val="nil"/>
            </w:tcBorders>
            <w:vAlign w:val="center"/>
          </w:tcPr>
          <w:p w14:paraId="0BFA6CAB">
            <w:pPr>
              <w:pStyle w:val="18"/>
              <w:rPr>
                <w:color w:val="auto"/>
              </w:rPr>
            </w:pPr>
            <w:r>
              <w:rPr>
                <w:color w:val="auto"/>
              </w:rPr>
              <w:t>合格</w:t>
            </w:r>
          </w:p>
        </w:tc>
      </w:tr>
      <w:tr w14:paraId="2A9FE9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0C81D718">
            <w:pPr>
              <w:pStyle w:val="18"/>
              <w:rPr>
                <w:color w:val="auto"/>
              </w:rPr>
            </w:pPr>
          </w:p>
        </w:tc>
        <w:tc>
          <w:tcPr>
            <w:tcW w:w="1052" w:type="pct"/>
            <w:vMerge w:val="continue"/>
            <w:tcBorders>
              <w:tl2br w:val="nil"/>
              <w:tr2bl w:val="nil"/>
            </w:tcBorders>
            <w:vAlign w:val="center"/>
          </w:tcPr>
          <w:p w14:paraId="05BD5D64">
            <w:pPr>
              <w:pStyle w:val="18"/>
              <w:rPr>
                <w:rFonts w:hint="eastAsia"/>
                <w:color w:val="auto"/>
                <w:lang w:val="en-US" w:eastAsia="zh-CN"/>
              </w:rPr>
            </w:pPr>
          </w:p>
        </w:tc>
        <w:tc>
          <w:tcPr>
            <w:tcW w:w="1009" w:type="pct"/>
            <w:tcBorders>
              <w:tl2br w:val="nil"/>
              <w:tr2bl w:val="nil"/>
            </w:tcBorders>
            <w:vAlign w:val="center"/>
          </w:tcPr>
          <w:p w14:paraId="56966CBB">
            <w:pPr>
              <w:pStyle w:val="18"/>
              <w:rPr>
                <w:rFonts w:hint="default"/>
                <w:color w:val="auto"/>
                <w:lang w:val="en-US" w:eastAsia="zh-CN"/>
              </w:rPr>
            </w:pPr>
            <w:r>
              <w:rPr>
                <w:rFonts w:hint="eastAsia"/>
                <w:color w:val="auto"/>
                <w:lang w:val="en-US" w:eastAsia="zh-CN"/>
              </w:rPr>
              <w:t>基坑集水沟</w:t>
            </w:r>
          </w:p>
        </w:tc>
        <w:tc>
          <w:tcPr>
            <w:tcW w:w="318" w:type="pct"/>
            <w:tcBorders>
              <w:tl2br w:val="nil"/>
              <w:tr2bl w:val="nil"/>
            </w:tcBorders>
            <w:vAlign w:val="center"/>
          </w:tcPr>
          <w:p w14:paraId="1A67F556">
            <w:pPr>
              <w:pStyle w:val="18"/>
              <w:rPr>
                <w:rFonts w:hint="default" w:eastAsia="仿宋_GB2312"/>
                <w:color w:val="auto"/>
                <w:lang w:val="en-US" w:eastAsia="zh-CN"/>
              </w:rPr>
            </w:pPr>
            <w:r>
              <w:rPr>
                <w:rFonts w:hint="eastAsia"/>
                <w:color w:val="auto"/>
                <w:lang w:val="en-US" w:eastAsia="zh-CN"/>
              </w:rPr>
              <w:t>6</w:t>
            </w:r>
          </w:p>
        </w:tc>
        <w:tc>
          <w:tcPr>
            <w:tcW w:w="583" w:type="pct"/>
            <w:tcBorders>
              <w:tl2br w:val="nil"/>
              <w:tr2bl w:val="nil"/>
            </w:tcBorders>
            <w:vAlign w:val="center"/>
          </w:tcPr>
          <w:p w14:paraId="5C08AC44">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auto"/>
                <w:kern w:val="0"/>
                <w:sz w:val="24"/>
                <w:szCs w:val="24"/>
                <w:u w:val="none"/>
                <w:lang w:val="en-US" w:eastAsia="zh-CN" w:bidi="ar"/>
              </w:rPr>
              <w:t>6</w:t>
            </w:r>
          </w:p>
        </w:tc>
        <w:tc>
          <w:tcPr>
            <w:tcW w:w="552" w:type="pct"/>
            <w:tcBorders>
              <w:tl2br w:val="nil"/>
              <w:tr2bl w:val="nil"/>
            </w:tcBorders>
            <w:vAlign w:val="center"/>
          </w:tcPr>
          <w:p w14:paraId="0B3C28B6">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05749991">
            <w:pPr>
              <w:pStyle w:val="18"/>
              <w:ind w:firstLine="0" w:firstLineChars="0"/>
              <w:rPr>
                <w:color w:val="auto"/>
              </w:rPr>
            </w:pPr>
            <w:r>
              <w:rPr>
                <w:color w:val="auto"/>
              </w:rPr>
              <w:t>合格</w:t>
            </w:r>
          </w:p>
        </w:tc>
      </w:tr>
      <w:tr w14:paraId="38AC27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vMerge w:val="continue"/>
            <w:tcBorders>
              <w:tl2br w:val="nil"/>
              <w:tr2bl w:val="nil"/>
            </w:tcBorders>
            <w:vAlign w:val="center"/>
          </w:tcPr>
          <w:p w14:paraId="3BF7350E">
            <w:pPr>
              <w:pStyle w:val="18"/>
              <w:rPr>
                <w:color w:val="auto"/>
              </w:rPr>
            </w:pPr>
          </w:p>
        </w:tc>
        <w:tc>
          <w:tcPr>
            <w:tcW w:w="1052" w:type="pct"/>
            <w:vMerge w:val="continue"/>
            <w:tcBorders>
              <w:tl2br w:val="nil"/>
              <w:tr2bl w:val="nil"/>
            </w:tcBorders>
            <w:vAlign w:val="center"/>
          </w:tcPr>
          <w:p w14:paraId="6DC88A4A">
            <w:pPr>
              <w:pStyle w:val="18"/>
              <w:rPr>
                <w:rFonts w:hint="eastAsia"/>
                <w:color w:val="auto"/>
                <w:lang w:val="en-US" w:eastAsia="zh-CN"/>
              </w:rPr>
            </w:pPr>
          </w:p>
        </w:tc>
        <w:tc>
          <w:tcPr>
            <w:tcW w:w="1009" w:type="pct"/>
            <w:tcBorders>
              <w:tl2br w:val="nil"/>
              <w:tr2bl w:val="nil"/>
            </w:tcBorders>
            <w:vAlign w:val="center"/>
          </w:tcPr>
          <w:p w14:paraId="783A9693">
            <w:pPr>
              <w:pStyle w:val="18"/>
              <w:rPr>
                <w:rFonts w:hint="default" w:eastAsia="仿宋_GB2312"/>
                <w:color w:val="auto"/>
                <w:lang w:val="en-US" w:eastAsia="zh-CN"/>
              </w:rPr>
            </w:pPr>
            <w:r>
              <w:rPr>
                <w:rFonts w:hint="eastAsia"/>
                <w:color w:val="auto"/>
                <w:lang w:val="en-US" w:eastAsia="zh-CN"/>
              </w:rPr>
              <w:t>排水沟</w:t>
            </w:r>
          </w:p>
        </w:tc>
        <w:tc>
          <w:tcPr>
            <w:tcW w:w="318" w:type="pct"/>
            <w:tcBorders>
              <w:tl2br w:val="nil"/>
              <w:tr2bl w:val="nil"/>
            </w:tcBorders>
            <w:vAlign w:val="center"/>
          </w:tcPr>
          <w:p w14:paraId="064C53D1">
            <w:pPr>
              <w:pStyle w:val="18"/>
              <w:rPr>
                <w:rFonts w:hint="default"/>
                <w:color w:val="auto"/>
                <w:lang w:val="en-US" w:eastAsia="zh-CN"/>
              </w:rPr>
            </w:pPr>
            <w:r>
              <w:rPr>
                <w:rFonts w:hint="eastAsia"/>
                <w:color w:val="auto"/>
                <w:lang w:val="en-US" w:eastAsia="zh-CN"/>
              </w:rPr>
              <w:t>14</w:t>
            </w:r>
          </w:p>
        </w:tc>
        <w:tc>
          <w:tcPr>
            <w:tcW w:w="583" w:type="pct"/>
            <w:tcBorders>
              <w:tl2br w:val="nil"/>
              <w:tr2bl w:val="nil"/>
            </w:tcBorders>
            <w:vAlign w:val="center"/>
          </w:tcPr>
          <w:p w14:paraId="3FC8DE22">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color w:val="auto"/>
                <w:lang w:val="en-US" w:eastAsia="zh-CN"/>
              </w:rPr>
            </w:pPr>
            <w:r>
              <w:rPr>
                <w:rFonts w:hint="default" w:ascii="Times New Roman" w:hAnsi="Times New Roman" w:eastAsia="宋体" w:cs="Times New Roman"/>
                <w:i w:val="0"/>
                <w:iCs w:val="0"/>
                <w:color w:val="auto"/>
                <w:kern w:val="0"/>
                <w:sz w:val="24"/>
                <w:szCs w:val="24"/>
                <w:u w:val="none"/>
                <w:lang w:val="en-US" w:eastAsia="zh-CN" w:bidi="ar"/>
              </w:rPr>
              <w:t>14</w:t>
            </w:r>
          </w:p>
        </w:tc>
        <w:tc>
          <w:tcPr>
            <w:tcW w:w="552" w:type="pct"/>
            <w:tcBorders>
              <w:tl2br w:val="nil"/>
              <w:tr2bl w:val="nil"/>
            </w:tcBorders>
            <w:vAlign w:val="center"/>
          </w:tcPr>
          <w:p w14:paraId="0E9793C8">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63A8CDAB">
            <w:pPr>
              <w:pStyle w:val="18"/>
              <w:ind w:firstLine="0" w:firstLineChars="0"/>
              <w:rPr>
                <w:color w:val="auto"/>
              </w:rPr>
            </w:pPr>
            <w:r>
              <w:rPr>
                <w:color w:val="auto"/>
              </w:rPr>
              <w:t>合格</w:t>
            </w:r>
          </w:p>
        </w:tc>
      </w:tr>
      <w:tr w14:paraId="325EDC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950" w:type="pct"/>
            <w:vMerge w:val="continue"/>
            <w:tcBorders>
              <w:tl2br w:val="nil"/>
              <w:tr2bl w:val="nil"/>
            </w:tcBorders>
            <w:vAlign w:val="center"/>
          </w:tcPr>
          <w:p w14:paraId="7890BCBB">
            <w:pPr>
              <w:pStyle w:val="18"/>
              <w:rPr>
                <w:color w:val="auto"/>
              </w:rPr>
            </w:pPr>
          </w:p>
        </w:tc>
        <w:tc>
          <w:tcPr>
            <w:tcW w:w="1052" w:type="pct"/>
            <w:tcBorders>
              <w:tl2br w:val="nil"/>
              <w:tr2bl w:val="nil"/>
            </w:tcBorders>
            <w:vAlign w:val="center"/>
          </w:tcPr>
          <w:p w14:paraId="23CF6176">
            <w:pPr>
              <w:pStyle w:val="18"/>
              <w:rPr>
                <w:color w:val="auto"/>
              </w:rPr>
            </w:pPr>
            <w:r>
              <w:rPr>
                <w:color w:val="auto"/>
              </w:rPr>
              <w:t>覆盖</w:t>
            </w:r>
          </w:p>
        </w:tc>
        <w:tc>
          <w:tcPr>
            <w:tcW w:w="1009" w:type="pct"/>
            <w:tcBorders>
              <w:tl2br w:val="nil"/>
              <w:tr2bl w:val="nil"/>
            </w:tcBorders>
            <w:vAlign w:val="center"/>
          </w:tcPr>
          <w:p w14:paraId="29385614">
            <w:pPr>
              <w:pStyle w:val="18"/>
              <w:rPr>
                <w:color w:val="auto"/>
              </w:rPr>
            </w:pPr>
            <w:r>
              <w:rPr>
                <w:rFonts w:hint="eastAsia"/>
                <w:color w:val="auto"/>
              </w:rPr>
              <w:t>密目网</w:t>
            </w:r>
            <w:r>
              <w:rPr>
                <w:color w:val="auto"/>
              </w:rPr>
              <w:t>覆盖</w:t>
            </w:r>
          </w:p>
        </w:tc>
        <w:tc>
          <w:tcPr>
            <w:tcW w:w="318" w:type="pct"/>
            <w:tcBorders>
              <w:tl2br w:val="nil"/>
              <w:tr2bl w:val="nil"/>
            </w:tcBorders>
            <w:vAlign w:val="center"/>
          </w:tcPr>
          <w:p w14:paraId="560A6BC5">
            <w:pPr>
              <w:pStyle w:val="18"/>
              <w:rPr>
                <w:rFonts w:hint="default" w:eastAsia="仿宋_GB2312"/>
                <w:color w:val="auto"/>
                <w:lang w:val="en-US" w:eastAsia="zh-CN"/>
              </w:rPr>
            </w:pPr>
            <w:r>
              <w:rPr>
                <w:rFonts w:hint="eastAsia"/>
                <w:color w:val="auto"/>
                <w:lang w:val="en-US" w:eastAsia="zh-CN"/>
              </w:rPr>
              <w:t>5</w:t>
            </w:r>
          </w:p>
        </w:tc>
        <w:tc>
          <w:tcPr>
            <w:tcW w:w="583" w:type="pct"/>
            <w:tcBorders>
              <w:tl2br w:val="nil"/>
              <w:tr2bl w:val="nil"/>
            </w:tcBorders>
            <w:vAlign w:val="center"/>
          </w:tcPr>
          <w:p w14:paraId="08240C7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color w:val="auto"/>
              </w:rPr>
            </w:pPr>
            <w:r>
              <w:rPr>
                <w:rFonts w:hint="default" w:ascii="Times New Roman" w:hAnsi="Times New Roman" w:eastAsia="宋体" w:cs="Times New Roman"/>
                <w:i w:val="0"/>
                <w:iCs w:val="0"/>
                <w:color w:val="auto"/>
                <w:kern w:val="0"/>
                <w:sz w:val="24"/>
                <w:szCs w:val="24"/>
                <w:u w:val="none"/>
                <w:lang w:val="en-US" w:eastAsia="zh-CN" w:bidi="ar"/>
              </w:rPr>
              <w:t>5</w:t>
            </w:r>
          </w:p>
        </w:tc>
        <w:tc>
          <w:tcPr>
            <w:tcW w:w="552" w:type="pct"/>
            <w:tcBorders>
              <w:tl2br w:val="nil"/>
              <w:tr2bl w:val="nil"/>
            </w:tcBorders>
            <w:vAlign w:val="center"/>
          </w:tcPr>
          <w:p w14:paraId="57028B82">
            <w:pPr>
              <w:pStyle w:val="18"/>
              <w:rPr>
                <w:color w:val="auto"/>
              </w:rPr>
            </w:pPr>
            <w:r>
              <w:rPr>
                <w:rFonts w:hint="eastAsia"/>
                <w:color w:val="auto"/>
              </w:rPr>
              <w:t>100%</w:t>
            </w:r>
          </w:p>
        </w:tc>
        <w:tc>
          <w:tcPr>
            <w:tcW w:w="533" w:type="pct"/>
            <w:tcBorders>
              <w:tl2br w:val="nil"/>
              <w:tr2bl w:val="nil"/>
            </w:tcBorders>
            <w:vAlign w:val="center"/>
          </w:tcPr>
          <w:p w14:paraId="015F559D">
            <w:pPr>
              <w:pStyle w:val="18"/>
              <w:rPr>
                <w:color w:val="auto"/>
              </w:rPr>
            </w:pPr>
            <w:r>
              <w:rPr>
                <w:color w:val="auto"/>
              </w:rPr>
              <w:t>合格</w:t>
            </w:r>
          </w:p>
        </w:tc>
      </w:tr>
      <w:tr w14:paraId="6609C1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3" w:hRule="atLeast"/>
          <w:jc w:val="center"/>
        </w:trPr>
        <w:tc>
          <w:tcPr>
            <w:tcW w:w="950" w:type="pct"/>
            <w:vMerge w:val="restart"/>
            <w:tcBorders>
              <w:tl2br w:val="nil"/>
              <w:tr2bl w:val="nil"/>
            </w:tcBorders>
            <w:vAlign w:val="center"/>
          </w:tcPr>
          <w:p w14:paraId="47205603">
            <w:pPr>
              <w:pStyle w:val="18"/>
              <w:rPr>
                <w:color w:val="auto"/>
              </w:rPr>
            </w:pPr>
            <w:r>
              <w:rPr>
                <w:color w:val="auto"/>
              </w:rPr>
              <w:t>植被建设工程</w:t>
            </w:r>
          </w:p>
        </w:tc>
        <w:tc>
          <w:tcPr>
            <w:tcW w:w="1052" w:type="pct"/>
            <w:vMerge w:val="restart"/>
            <w:tcBorders>
              <w:tl2br w:val="nil"/>
              <w:tr2bl w:val="nil"/>
            </w:tcBorders>
            <w:vAlign w:val="center"/>
          </w:tcPr>
          <w:p w14:paraId="57C63337">
            <w:pPr>
              <w:pStyle w:val="18"/>
              <w:rPr>
                <w:color w:val="auto"/>
              </w:rPr>
            </w:pPr>
            <w:r>
              <w:rPr>
                <w:rFonts w:hint="eastAsia"/>
                <w:color w:val="auto"/>
                <w:lang w:val="en-US" w:eastAsia="zh-CN"/>
              </w:rPr>
              <w:t>△</w:t>
            </w:r>
            <w:r>
              <w:rPr>
                <w:color w:val="auto"/>
              </w:rPr>
              <w:t>点片状植被</w:t>
            </w:r>
          </w:p>
        </w:tc>
        <w:tc>
          <w:tcPr>
            <w:tcW w:w="1009" w:type="pct"/>
            <w:tcBorders>
              <w:tl2br w:val="nil"/>
              <w:tr2bl w:val="nil"/>
            </w:tcBorders>
            <w:vAlign w:val="center"/>
          </w:tcPr>
          <w:p w14:paraId="4D78F4EF">
            <w:pPr>
              <w:pStyle w:val="18"/>
              <w:rPr>
                <w:color w:val="auto"/>
              </w:rPr>
            </w:pPr>
            <w:r>
              <w:rPr>
                <w:color w:val="auto"/>
              </w:rPr>
              <w:t>景观绿化</w:t>
            </w:r>
          </w:p>
        </w:tc>
        <w:tc>
          <w:tcPr>
            <w:tcW w:w="318" w:type="pct"/>
            <w:tcBorders>
              <w:tl2br w:val="nil"/>
              <w:tr2bl w:val="nil"/>
            </w:tcBorders>
            <w:vAlign w:val="center"/>
          </w:tcPr>
          <w:p w14:paraId="469FEA91">
            <w:pPr>
              <w:pStyle w:val="18"/>
              <w:rPr>
                <w:rFonts w:hint="default" w:eastAsia="仿宋_GB2312"/>
                <w:color w:val="auto"/>
                <w:lang w:val="en-US" w:eastAsia="zh-CN"/>
              </w:rPr>
            </w:pPr>
            <w:r>
              <w:rPr>
                <w:rFonts w:hint="eastAsia"/>
                <w:color w:val="auto"/>
                <w:lang w:val="en-US" w:eastAsia="zh-CN"/>
              </w:rPr>
              <w:t>1</w:t>
            </w:r>
          </w:p>
        </w:tc>
        <w:tc>
          <w:tcPr>
            <w:tcW w:w="583" w:type="pct"/>
            <w:tcBorders>
              <w:tl2br w:val="nil"/>
              <w:tr2bl w:val="nil"/>
            </w:tcBorders>
            <w:vAlign w:val="center"/>
          </w:tcPr>
          <w:p w14:paraId="46E5545E">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eastAsia="仿宋_GB2312"/>
                <w:color w:val="auto"/>
                <w:lang w:val="en-US" w:eastAsia="zh-CN"/>
              </w:rPr>
            </w:pPr>
            <w:r>
              <w:rPr>
                <w:rFonts w:hint="default" w:ascii="Times New Roman" w:hAnsi="Times New Roman" w:eastAsia="宋体" w:cs="Times New Roman"/>
                <w:i w:val="0"/>
                <w:iCs w:val="0"/>
                <w:color w:val="auto"/>
                <w:kern w:val="0"/>
                <w:sz w:val="24"/>
                <w:szCs w:val="24"/>
                <w:u w:val="none"/>
                <w:lang w:val="en-US" w:eastAsia="zh-CN" w:bidi="ar"/>
              </w:rPr>
              <w:t>1</w:t>
            </w:r>
          </w:p>
        </w:tc>
        <w:tc>
          <w:tcPr>
            <w:tcW w:w="552" w:type="pct"/>
            <w:tcBorders>
              <w:tl2br w:val="nil"/>
              <w:tr2bl w:val="nil"/>
            </w:tcBorders>
            <w:vAlign w:val="center"/>
          </w:tcPr>
          <w:p w14:paraId="700F125F">
            <w:pPr>
              <w:pStyle w:val="18"/>
              <w:ind w:firstLine="0" w:firstLineChars="0"/>
              <w:rPr>
                <w:color w:val="auto"/>
              </w:rPr>
            </w:pPr>
            <w:r>
              <w:rPr>
                <w:rFonts w:hint="eastAsia"/>
                <w:color w:val="auto"/>
              </w:rPr>
              <w:t>100%</w:t>
            </w:r>
          </w:p>
        </w:tc>
        <w:tc>
          <w:tcPr>
            <w:tcW w:w="533" w:type="pct"/>
            <w:tcBorders>
              <w:tl2br w:val="nil"/>
              <w:tr2bl w:val="nil"/>
            </w:tcBorders>
            <w:vAlign w:val="center"/>
          </w:tcPr>
          <w:p w14:paraId="309A8550">
            <w:pPr>
              <w:pStyle w:val="18"/>
              <w:rPr>
                <w:rFonts w:hint="eastAsia"/>
                <w:color w:val="auto"/>
                <w:lang w:val="en-US" w:eastAsia="zh-CN"/>
              </w:rPr>
            </w:pPr>
            <w:r>
              <w:rPr>
                <w:color w:val="auto"/>
              </w:rPr>
              <w:t>合格</w:t>
            </w:r>
          </w:p>
        </w:tc>
      </w:tr>
      <w:tr w14:paraId="5C4BC2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3" w:hRule="atLeast"/>
          <w:jc w:val="center"/>
        </w:trPr>
        <w:tc>
          <w:tcPr>
            <w:tcW w:w="950" w:type="pct"/>
            <w:vMerge w:val="continue"/>
            <w:tcBorders>
              <w:tl2br w:val="nil"/>
              <w:tr2bl w:val="nil"/>
            </w:tcBorders>
            <w:vAlign w:val="center"/>
          </w:tcPr>
          <w:p w14:paraId="00055D3A">
            <w:pPr>
              <w:pStyle w:val="18"/>
              <w:rPr>
                <w:color w:val="auto"/>
              </w:rPr>
            </w:pPr>
          </w:p>
        </w:tc>
        <w:tc>
          <w:tcPr>
            <w:tcW w:w="1052" w:type="pct"/>
            <w:vMerge w:val="continue"/>
            <w:tcBorders>
              <w:tl2br w:val="nil"/>
              <w:tr2bl w:val="nil"/>
            </w:tcBorders>
            <w:vAlign w:val="center"/>
          </w:tcPr>
          <w:p w14:paraId="3062A7B5">
            <w:pPr>
              <w:pStyle w:val="18"/>
              <w:rPr>
                <w:rFonts w:hint="eastAsia"/>
                <w:color w:val="auto"/>
                <w:lang w:val="en-US" w:eastAsia="zh-CN"/>
              </w:rPr>
            </w:pPr>
          </w:p>
        </w:tc>
        <w:tc>
          <w:tcPr>
            <w:tcW w:w="1009" w:type="pct"/>
            <w:tcBorders>
              <w:tl2br w:val="nil"/>
              <w:tr2bl w:val="nil"/>
            </w:tcBorders>
            <w:vAlign w:val="center"/>
          </w:tcPr>
          <w:p w14:paraId="5482ABE7">
            <w:pPr>
              <w:pStyle w:val="18"/>
              <w:keepNext w:val="0"/>
              <w:keepLines w:val="0"/>
              <w:pageBreakBefore w:val="0"/>
              <w:widowControl w:val="0"/>
              <w:kinsoku/>
              <w:wordWrap/>
              <w:overflowPunct/>
              <w:topLinePunct w:val="0"/>
              <w:autoSpaceDE/>
              <w:autoSpaceDN/>
              <w:bidi w:val="0"/>
              <w:adjustRightInd/>
              <w:snapToGrid/>
              <w:textAlignment w:val="auto"/>
              <w:rPr>
                <w:rFonts w:hint="default" w:eastAsia="仿宋_GB2312"/>
                <w:color w:val="auto"/>
                <w:lang w:val="en-US" w:eastAsia="zh-CN"/>
              </w:rPr>
            </w:pPr>
            <w:r>
              <w:rPr>
                <w:rFonts w:hint="eastAsia"/>
                <w:color w:val="auto"/>
                <w:lang w:val="en-US" w:eastAsia="zh-CN"/>
              </w:rPr>
              <w:t>撒播狗牙根草籽</w:t>
            </w:r>
          </w:p>
        </w:tc>
        <w:tc>
          <w:tcPr>
            <w:tcW w:w="318" w:type="pct"/>
            <w:tcBorders>
              <w:tl2br w:val="nil"/>
              <w:tr2bl w:val="nil"/>
            </w:tcBorders>
            <w:vAlign w:val="center"/>
          </w:tcPr>
          <w:p w14:paraId="2DD9CF47">
            <w:pPr>
              <w:pStyle w:val="18"/>
              <w:rPr>
                <w:rFonts w:hint="default"/>
                <w:color w:val="auto"/>
                <w:lang w:val="en-US" w:eastAsia="zh-CN"/>
              </w:rPr>
            </w:pPr>
            <w:r>
              <w:rPr>
                <w:rFonts w:hint="eastAsia"/>
                <w:color w:val="auto"/>
                <w:lang w:val="en-US" w:eastAsia="zh-CN"/>
              </w:rPr>
              <w:t>1</w:t>
            </w:r>
          </w:p>
        </w:tc>
        <w:tc>
          <w:tcPr>
            <w:tcW w:w="583" w:type="pct"/>
            <w:tcBorders>
              <w:tl2br w:val="nil"/>
              <w:tr2bl w:val="nil"/>
            </w:tcBorders>
            <w:vAlign w:val="center"/>
          </w:tcPr>
          <w:p w14:paraId="3B6BDE0A">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eastAsia" w:eastAsia="宋体" w:cs="Times New Roman"/>
                <w:i w:val="0"/>
                <w:iCs w:val="0"/>
                <w:color w:val="auto"/>
                <w:kern w:val="0"/>
                <w:sz w:val="24"/>
                <w:szCs w:val="24"/>
                <w:u w:val="none"/>
                <w:lang w:val="en-US" w:eastAsia="zh-CN" w:bidi="ar"/>
              </w:rPr>
              <w:t>1</w:t>
            </w:r>
          </w:p>
        </w:tc>
        <w:tc>
          <w:tcPr>
            <w:tcW w:w="552" w:type="pct"/>
            <w:tcBorders>
              <w:tl2br w:val="nil"/>
              <w:tr2bl w:val="nil"/>
            </w:tcBorders>
            <w:vAlign w:val="center"/>
          </w:tcPr>
          <w:p w14:paraId="0F27A76F">
            <w:pPr>
              <w:pStyle w:val="18"/>
              <w:ind w:firstLine="0" w:firstLineChars="0"/>
              <w:rPr>
                <w:rFonts w:hint="default" w:eastAsia="仿宋_GB2312"/>
                <w:color w:val="auto"/>
                <w:lang w:val="en-US" w:eastAsia="zh-CN"/>
              </w:rPr>
            </w:pPr>
            <w:r>
              <w:rPr>
                <w:rFonts w:hint="eastAsia"/>
                <w:color w:val="auto"/>
              </w:rPr>
              <w:t>100%</w:t>
            </w:r>
          </w:p>
        </w:tc>
        <w:tc>
          <w:tcPr>
            <w:tcW w:w="533" w:type="pct"/>
            <w:tcBorders>
              <w:tl2br w:val="nil"/>
              <w:tr2bl w:val="nil"/>
            </w:tcBorders>
            <w:vAlign w:val="center"/>
          </w:tcPr>
          <w:p w14:paraId="42306E7F">
            <w:pPr>
              <w:pStyle w:val="18"/>
              <w:ind w:firstLine="0" w:firstLineChars="0"/>
              <w:rPr>
                <w:color w:val="auto"/>
              </w:rPr>
            </w:pPr>
            <w:r>
              <w:rPr>
                <w:color w:val="auto"/>
              </w:rPr>
              <w:t>合格</w:t>
            </w:r>
          </w:p>
        </w:tc>
      </w:tr>
      <w:tr w14:paraId="24BC36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3" w:hRule="atLeast"/>
          <w:jc w:val="center"/>
        </w:trPr>
        <w:tc>
          <w:tcPr>
            <w:tcW w:w="950" w:type="pct"/>
            <w:vMerge w:val="continue"/>
            <w:tcBorders>
              <w:tl2br w:val="nil"/>
              <w:tr2bl w:val="nil"/>
            </w:tcBorders>
            <w:vAlign w:val="center"/>
          </w:tcPr>
          <w:p w14:paraId="7C2796DF">
            <w:pPr>
              <w:pStyle w:val="18"/>
              <w:rPr>
                <w:color w:val="auto"/>
              </w:rPr>
            </w:pPr>
          </w:p>
        </w:tc>
        <w:tc>
          <w:tcPr>
            <w:tcW w:w="1052" w:type="pct"/>
            <w:vMerge w:val="continue"/>
            <w:tcBorders>
              <w:tl2br w:val="nil"/>
              <w:tr2bl w:val="nil"/>
            </w:tcBorders>
            <w:vAlign w:val="center"/>
          </w:tcPr>
          <w:p w14:paraId="0832B7FF">
            <w:pPr>
              <w:pStyle w:val="18"/>
              <w:rPr>
                <w:rFonts w:hint="eastAsia"/>
                <w:color w:val="auto"/>
                <w:lang w:val="en-US" w:eastAsia="zh-CN"/>
              </w:rPr>
            </w:pPr>
          </w:p>
        </w:tc>
        <w:tc>
          <w:tcPr>
            <w:tcW w:w="1009" w:type="pct"/>
            <w:tcBorders>
              <w:tl2br w:val="nil"/>
              <w:tr2bl w:val="nil"/>
            </w:tcBorders>
            <w:vAlign w:val="center"/>
          </w:tcPr>
          <w:p w14:paraId="4222BD9B">
            <w:pPr>
              <w:pStyle w:val="18"/>
              <w:keepNext w:val="0"/>
              <w:keepLines w:val="0"/>
              <w:pageBreakBefore w:val="0"/>
              <w:widowControl w:val="0"/>
              <w:kinsoku/>
              <w:wordWrap/>
              <w:overflowPunct/>
              <w:topLinePunct w:val="0"/>
              <w:autoSpaceDE/>
              <w:autoSpaceDN/>
              <w:bidi w:val="0"/>
              <w:adjustRightInd/>
              <w:snapToGrid/>
              <w:textAlignment w:val="auto"/>
              <w:rPr>
                <w:rFonts w:hint="default"/>
                <w:color w:val="auto"/>
                <w:lang w:val="en-US" w:eastAsia="zh-CN"/>
              </w:rPr>
            </w:pPr>
            <w:r>
              <w:rPr>
                <w:rFonts w:hint="eastAsia"/>
                <w:color w:val="auto"/>
                <w:lang w:val="en-US" w:eastAsia="zh-CN"/>
              </w:rPr>
              <w:t>临时绿化</w:t>
            </w:r>
          </w:p>
        </w:tc>
        <w:tc>
          <w:tcPr>
            <w:tcW w:w="582" w:type="dxa"/>
            <w:tcBorders>
              <w:tl2br w:val="nil"/>
              <w:tr2bl w:val="nil"/>
            </w:tcBorders>
            <w:vAlign w:val="center"/>
          </w:tcPr>
          <w:p w14:paraId="621F8D74">
            <w:pPr>
              <w:pStyle w:val="18"/>
              <w:ind w:firstLine="0" w:firstLineChars="0"/>
              <w:rPr>
                <w:rFonts w:hint="eastAsia"/>
                <w:color w:val="auto"/>
                <w:lang w:val="en-US" w:eastAsia="zh-CN"/>
              </w:rPr>
            </w:pPr>
            <w:r>
              <w:rPr>
                <w:rFonts w:hint="eastAsia"/>
                <w:color w:val="auto"/>
                <w:lang w:val="en-US" w:eastAsia="zh-CN"/>
              </w:rPr>
              <w:t>1</w:t>
            </w:r>
          </w:p>
        </w:tc>
        <w:tc>
          <w:tcPr>
            <w:tcW w:w="1067" w:type="dxa"/>
            <w:tcBorders>
              <w:tl2br w:val="nil"/>
              <w:tr2bl w:val="nil"/>
            </w:tcBorders>
            <w:vAlign w:val="center"/>
          </w:tcPr>
          <w:p w14:paraId="5A167D3D">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eastAsia="宋体" w:cs="Times New Roman"/>
                <w:i w:val="0"/>
                <w:iCs w:val="0"/>
                <w:color w:val="auto"/>
                <w:kern w:val="0"/>
                <w:sz w:val="24"/>
                <w:szCs w:val="24"/>
                <w:u w:val="none"/>
                <w:lang w:val="en-US" w:eastAsia="zh-CN" w:bidi="ar"/>
              </w:rPr>
            </w:pPr>
            <w:r>
              <w:rPr>
                <w:rFonts w:hint="eastAsia" w:eastAsia="宋体" w:cs="Times New Roman"/>
                <w:i w:val="0"/>
                <w:iCs w:val="0"/>
                <w:color w:val="auto"/>
                <w:kern w:val="0"/>
                <w:sz w:val="24"/>
                <w:szCs w:val="24"/>
                <w:u w:val="none"/>
                <w:lang w:val="en-US" w:eastAsia="zh-CN" w:bidi="ar"/>
              </w:rPr>
              <w:t>1</w:t>
            </w:r>
          </w:p>
        </w:tc>
        <w:tc>
          <w:tcPr>
            <w:tcW w:w="1010" w:type="dxa"/>
            <w:tcBorders>
              <w:tl2br w:val="nil"/>
              <w:tr2bl w:val="nil"/>
            </w:tcBorders>
            <w:vAlign w:val="center"/>
          </w:tcPr>
          <w:p w14:paraId="5599D65F">
            <w:pPr>
              <w:pStyle w:val="18"/>
              <w:ind w:firstLine="0" w:firstLineChars="0"/>
              <w:rPr>
                <w:rFonts w:hint="eastAsia"/>
                <w:color w:val="auto"/>
              </w:rPr>
            </w:pPr>
            <w:r>
              <w:rPr>
                <w:rFonts w:hint="eastAsia"/>
                <w:color w:val="auto"/>
              </w:rPr>
              <w:t>100%</w:t>
            </w:r>
          </w:p>
        </w:tc>
        <w:tc>
          <w:tcPr>
            <w:tcW w:w="975" w:type="dxa"/>
            <w:tcBorders>
              <w:tl2br w:val="nil"/>
              <w:tr2bl w:val="nil"/>
            </w:tcBorders>
            <w:vAlign w:val="center"/>
          </w:tcPr>
          <w:p w14:paraId="38639599">
            <w:pPr>
              <w:pStyle w:val="18"/>
              <w:ind w:firstLine="0" w:firstLineChars="0"/>
              <w:rPr>
                <w:color w:val="auto"/>
              </w:rPr>
            </w:pPr>
            <w:r>
              <w:rPr>
                <w:color w:val="auto"/>
              </w:rPr>
              <w:t>合格</w:t>
            </w:r>
          </w:p>
        </w:tc>
      </w:tr>
      <w:tr w14:paraId="1DE8A8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3" w:hRule="atLeast"/>
          <w:jc w:val="center"/>
        </w:trPr>
        <w:tc>
          <w:tcPr>
            <w:tcW w:w="950" w:type="pct"/>
            <w:tcBorders>
              <w:tl2br w:val="nil"/>
              <w:tr2bl w:val="nil"/>
            </w:tcBorders>
            <w:vAlign w:val="center"/>
          </w:tcPr>
          <w:p w14:paraId="053464DE">
            <w:pPr>
              <w:pStyle w:val="18"/>
              <w:rPr>
                <w:rFonts w:hint="default" w:eastAsia="仿宋_GB2312"/>
                <w:color w:val="auto"/>
                <w:lang w:val="en-US" w:eastAsia="zh-CN"/>
              </w:rPr>
            </w:pPr>
            <w:r>
              <w:rPr>
                <w:rFonts w:hint="eastAsia"/>
                <w:color w:val="auto"/>
                <w:lang w:val="en-US" w:eastAsia="zh-CN"/>
              </w:rPr>
              <w:t>降水蓄渗工程</w:t>
            </w:r>
          </w:p>
        </w:tc>
        <w:tc>
          <w:tcPr>
            <w:tcW w:w="1052" w:type="pct"/>
            <w:tcBorders>
              <w:tl2br w:val="nil"/>
              <w:tr2bl w:val="nil"/>
            </w:tcBorders>
            <w:vAlign w:val="center"/>
          </w:tcPr>
          <w:p w14:paraId="5AE378A5">
            <w:pPr>
              <w:pStyle w:val="18"/>
              <w:rPr>
                <w:color w:val="auto"/>
              </w:rPr>
            </w:pPr>
            <w:r>
              <w:rPr>
                <w:rFonts w:hint="eastAsia"/>
                <w:color w:val="auto"/>
                <w:lang w:val="en-US" w:eastAsia="zh-CN"/>
              </w:rPr>
              <w:t>降水蓄渗</w:t>
            </w:r>
          </w:p>
        </w:tc>
        <w:tc>
          <w:tcPr>
            <w:tcW w:w="1009" w:type="pct"/>
            <w:tcBorders>
              <w:tl2br w:val="nil"/>
              <w:tr2bl w:val="nil"/>
            </w:tcBorders>
            <w:vAlign w:val="center"/>
          </w:tcPr>
          <w:p w14:paraId="00C3E62F">
            <w:pPr>
              <w:pStyle w:val="18"/>
              <w:rPr>
                <w:rFonts w:hint="eastAsia" w:eastAsia="仿宋_GB2312"/>
                <w:color w:val="auto"/>
                <w:lang w:val="en-US" w:eastAsia="zh-CN"/>
              </w:rPr>
            </w:pPr>
            <w:r>
              <w:rPr>
                <w:rFonts w:hint="eastAsia"/>
                <w:color w:val="auto"/>
                <w:lang w:val="en-US" w:eastAsia="zh-CN"/>
              </w:rPr>
              <w:t>植草砖</w:t>
            </w:r>
          </w:p>
        </w:tc>
        <w:tc>
          <w:tcPr>
            <w:tcW w:w="318" w:type="pct"/>
            <w:tcBorders>
              <w:tl2br w:val="nil"/>
              <w:tr2bl w:val="nil"/>
            </w:tcBorders>
            <w:vAlign w:val="center"/>
          </w:tcPr>
          <w:p w14:paraId="014BE075">
            <w:pPr>
              <w:pStyle w:val="18"/>
              <w:rPr>
                <w:rFonts w:hint="default"/>
                <w:color w:val="auto"/>
                <w:lang w:val="en-US" w:eastAsia="zh-CN"/>
              </w:rPr>
            </w:pPr>
            <w:r>
              <w:rPr>
                <w:rFonts w:hint="eastAsia"/>
                <w:color w:val="auto"/>
                <w:lang w:val="en-US" w:eastAsia="zh-CN"/>
              </w:rPr>
              <w:t>3</w:t>
            </w:r>
          </w:p>
        </w:tc>
        <w:tc>
          <w:tcPr>
            <w:tcW w:w="583" w:type="pct"/>
            <w:tcBorders>
              <w:tl2br w:val="nil"/>
              <w:tr2bl w:val="nil"/>
            </w:tcBorders>
            <w:vAlign w:val="center"/>
          </w:tcPr>
          <w:p w14:paraId="19821E30">
            <w:pPr>
              <w:keepNext w:val="0"/>
              <w:keepLines w:val="0"/>
              <w:pageBreakBefore w:val="0"/>
              <w:widowControl w:val="0"/>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eastAsia="仿宋_GB2312"/>
                <w:color w:val="auto"/>
                <w:lang w:val="en-US" w:eastAsia="zh-CN"/>
              </w:rPr>
            </w:pPr>
            <w:r>
              <w:rPr>
                <w:rFonts w:hint="default" w:ascii="Times New Roman" w:hAnsi="Times New Roman" w:eastAsia="宋体" w:cs="Times New Roman"/>
                <w:i w:val="0"/>
                <w:iCs w:val="0"/>
                <w:color w:val="auto"/>
                <w:kern w:val="0"/>
                <w:sz w:val="24"/>
                <w:szCs w:val="24"/>
                <w:u w:val="none"/>
                <w:lang w:val="en-US" w:eastAsia="zh-CN" w:bidi="ar"/>
              </w:rPr>
              <w:t>3</w:t>
            </w:r>
          </w:p>
        </w:tc>
        <w:tc>
          <w:tcPr>
            <w:tcW w:w="552" w:type="pct"/>
            <w:tcBorders>
              <w:tl2br w:val="nil"/>
              <w:tr2bl w:val="nil"/>
            </w:tcBorders>
            <w:vAlign w:val="center"/>
          </w:tcPr>
          <w:p w14:paraId="5A49D920">
            <w:pPr>
              <w:pStyle w:val="18"/>
              <w:ind w:firstLine="0" w:firstLineChars="0"/>
              <w:rPr>
                <w:rFonts w:hint="eastAsia"/>
                <w:color w:val="auto"/>
              </w:rPr>
            </w:pPr>
            <w:r>
              <w:rPr>
                <w:rFonts w:hint="eastAsia"/>
                <w:color w:val="auto"/>
              </w:rPr>
              <w:t>100%</w:t>
            </w:r>
          </w:p>
        </w:tc>
        <w:tc>
          <w:tcPr>
            <w:tcW w:w="533" w:type="pct"/>
            <w:tcBorders>
              <w:tl2br w:val="nil"/>
              <w:tr2bl w:val="nil"/>
            </w:tcBorders>
            <w:vAlign w:val="center"/>
          </w:tcPr>
          <w:p w14:paraId="6F328D33">
            <w:pPr>
              <w:pStyle w:val="18"/>
              <w:rPr>
                <w:rFonts w:hint="eastAsia"/>
                <w:color w:val="auto"/>
                <w:lang w:val="en-US" w:eastAsia="zh-CN"/>
              </w:rPr>
            </w:pPr>
            <w:r>
              <w:rPr>
                <w:color w:val="auto"/>
              </w:rPr>
              <w:t>合格</w:t>
            </w:r>
          </w:p>
        </w:tc>
      </w:tr>
      <w:tr w14:paraId="5BD05F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50" w:type="pct"/>
            <w:tcBorders>
              <w:tl2br w:val="nil"/>
              <w:tr2bl w:val="nil"/>
            </w:tcBorders>
            <w:vAlign w:val="center"/>
          </w:tcPr>
          <w:p w14:paraId="36614E2B">
            <w:pPr>
              <w:pStyle w:val="18"/>
              <w:rPr>
                <w:color w:val="auto"/>
              </w:rPr>
            </w:pPr>
            <w:r>
              <w:rPr>
                <w:color w:val="auto"/>
              </w:rPr>
              <w:t>合计</w:t>
            </w:r>
          </w:p>
        </w:tc>
        <w:tc>
          <w:tcPr>
            <w:tcW w:w="1052" w:type="pct"/>
            <w:tcBorders>
              <w:tl2br w:val="nil"/>
              <w:tr2bl w:val="nil"/>
            </w:tcBorders>
            <w:vAlign w:val="center"/>
          </w:tcPr>
          <w:p w14:paraId="404A5874">
            <w:pPr>
              <w:pStyle w:val="18"/>
              <w:rPr>
                <w:rFonts w:hint="eastAsia" w:eastAsia="仿宋_GB2312"/>
                <w:color w:val="auto"/>
                <w:lang w:eastAsia="zh-CN"/>
              </w:rPr>
            </w:pPr>
            <w:r>
              <w:rPr>
                <w:rFonts w:hint="eastAsia"/>
                <w:color w:val="auto"/>
                <w:lang w:val="en-US" w:eastAsia="zh-CN"/>
              </w:rPr>
              <w:t>8</w:t>
            </w:r>
          </w:p>
        </w:tc>
        <w:tc>
          <w:tcPr>
            <w:tcW w:w="1009" w:type="pct"/>
            <w:tcBorders>
              <w:tl2br w:val="nil"/>
              <w:tr2bl w:val="nil"/>
            </w:tcBorders>
            <w:vAlign w:val="center"/>
          </w:tcPr>
          <w:p w14:paraId="7A171767">
            <w:pPr>
              <w:pStyle w:val="18"/>
              <w:rPr>
                <w:rFonts w:hint="default" w:eastAsia="仿宋_GB2312"/>
                <w:color w:val="auto"/>
                <w:lang w:val="en-US" w:eastAsia="zh-CN"/>
              </w:rPr>
            </w:pPr>
            <w:r>
              <w:rPr>
                <w:rFonts w:hint="eastAsia"/>
                <w:color w:val="auto"/>
                <w:lang w:val="en-US" w:eastAsia="zh-CN"/>
              </w:rPr>
              <w:t>/</w:t>
            </w:r>
          </w:p>
        </w:tc>
        <w:tc>
          <w:tcPr>
            <w:tcW w:w="318" w:type="pct"/>
            <w:tcBorders>
              <w:tl2br w:val="nil"/>
              <w:tr2bl w:val="nil"/>
            </w:tcBorders>
            <w:vAlign w:val="center"/>
          </w:tcPr>
          <w:p w14:paraId="4A62BEEE">
            <w:pPr>
              <w:pStyle w:val="18"/>
              <w:rPr>
                <w:rFonts w:hint="default" w:eastAsia="仿宋_GB2312"/>
                <w:color w:val="auto"/>
                <w:lang w:val="en-US" w:eastAsia="zh-CN"/>
              </w:rPr>
            </w:pPr>
            <w:r>
              <w:rPr>
                <w:rFonts w:hint="eastAsia"/>
                <w:color w:val="auto"/>
                <w:lang w:val="en-US" w:eastAsia="zh-CN"/>
              </w:rPr>
              <w:t>90</w:t>
            </w:r>
          </w:p>
        </w:tc>
        <w:tc>
          <w:tcPr>
            <w:tcW w:w="583" w:type="pct"/>
            <w:tcBorders>
              <w:tl2br w:val="nil"/>
              <w:tr2bl w:val="nil"/>
            </w:tcBorders>
            <w:vAlign w:val="center"/>
          </w:tcPr>
          <w:p w14:paraId="5EDFDA63">
            <w:pPr>
              <w:pStyle w:val="18"/>
              <w:ind w:firstLine="0" w:firstLineChars="0"/>
              <w:rPr>
                <w:rFonts w:hint="default" w:eastAsia="仿宋_GB2312"/>
                <w:color w:val="auto"/>
                <w:lang w:val="en-US" w:eastAsia="zh-CN"/>
              </w:rPr>
            </w:pPr>
            <w:r>
              <w:rPr>
                <w:rFonts w:hint="eastAsia"/>
                <w:color w:val="auto"/>
                <w:lang w:val="en-US" w:eastAsia="zh-CN"/>
              </w:rPr>
              <w:t>90</w:t>
            </w:r>
          </w:p>
        </w:tc>
        <w:tc>
          <w:tcPr>
            <w:tcW w:w="552" w:type="pct"/>
            <w:tcBorders>
              <w:tl2br w:val="nil"/>
              <w:tr2bl w:val="nil"/>
            </w:tcBorders>
            <w:vAlign w:val="center"/>
          </w:tcPr>
          <w:p w14:paraId="120C892C">
            <w:pPr>
              <w:pStyle w:val="18"/>
              <w:rPr>
                <w:color w:val="auto"/>
              </w:rPr>
            </w:pPr>
            <w:r>
              <w:rPr>
                <w:color w:val="auto"/>
              </w:rPr>
              <w:t>/</w:t>
            </w:r>
          </w:p>
        </w:tc>
        <w:tc>
          <w:tcPr>
            <w:tcW w:w="533" w:type="pct"/>
            <w:tcBorders>
              <w:tl2br w:val="nil"/>
              <w:tr2bl w:val="nil"/>
            </w:tcBorders>
            <w:vAlign w:val="center"/>
          </w:tcPr>
          <w:p w14:paraId="59C164ED">
            <w:pPr>
              <w:pStyle w:val="18"/>
              <w:rPr>
                <w:color w:val="auto"/>
              </w:rPr>
            </w:pPr>
            <w:r>
              <w:rPr>
                <w:color w:val="auto"/>
              </w:rPr>
              <w:t>合格</w:t>
            </w:r>
          </w:p>
        </w:tc>
      </w:tr>
    </w:tbl>
    <w:p w14:paraId="376B8E94">
      <w:pPr>
        <w:rPr>
          <w:rFonts w:eastAsia="仿宋"/>
          <w:color w:val="auto"/>
          <w:kern w:val="0"/>
          <w:szCs w:val="30"/>
        </w:rPr>
      </w:pPr>
      <w:r>
        <w:rPr>
          <w:rFonts w:eastAsia="仿宋"/>
          <w:color w:val="auto"/>
          <w:kern w:val="0"/>
          <w:szCs w:val="30"/>
        </w:rPr>
        <w:br w:type="page"/>
      </w:r>
    </w:p>
    <w:p w14:paraId="5FC14E41">
      <w:pPr>
        <w:pStyle w:val="3"/>
        <w:widowControl/>
        <w:spacing w:beforeLines="50"/>
        <w:rPr>
          <w:rFonts w:eastAsia="仿宋"/>
          <w:color w:val="auto"/>
          <w:kern w:val="0"/>
          <w:szCs w:val="30"/>
        </w:rPr>
      </w:pPr>
      <w:bookmarkStart w:id="87" w:name="_Toc17262"/>
      <w:r>
        <w:rPr>
          <w:rFonts w:eastAsia="仿宋"/>
          <w:color w:val="auto"/>
          <w:kern w:val="0"/>
          <w:szCs w:val="30"/>
        </w:rPr>
        <w:t>4.3弃渣场稳定性评估</w:t>
      </w:r>
      <w:bookmarkEnd w:id="86"/>
      <w:bookmarkEnd w:id="87"/>
    </w:p>
    <w:p w14:paraId="6FCC0BC4">
      <w:pPr>
        <w:adjustRightInd w:val="0"/>
        <w:snapToGrid w:val="0"/>
        <w:ind w:firstLine="560"/>
        <w:rPr>
          <w:rFonts w:eastAsia="仿宋"/>
          <w:color w:val="auto"/>
          <w:kern w:val="0"/>
          <w:szCs w:val="22"/>
        </w:rPr>
      </w:pPr>
      <w:r>
        <w:rPr>
          <w:rFonts w:eastAsia="仿宋"/>
          <w:color w:val="auto"/>
          <w:kern w:val="0"/>
          <w:szCs w:val="22"/>
        </w:rPr>
        <w:t>经调查，本项目建设期未布设弃渣场。</w:t>
      </w:r>
    </w:p>
    <w:p w14:paraId="0B14E6D5">
      <w:pPr>
        <w:pStyle w:val="3"/>
        <w:widowControl/>
        <w:rPr>
          <w:rFonts w:eastAsia="仿宋"/>
          <w:color w:val="auto"/>
          <w:kern w:val="0"/>
          <w:szCs w:val="30"/>
        </w:rPr>
      </w:pPr>
      <w:bookmarkStart w:id="88" w:name="_Toc30210"/>
      <w:bookmarkStart w:id="89" w:name="_Toc19392"/>
      <w:r>
        <w:rPr>
          <w:rFonts w:eastAsia="仿宋"/>
          <w:color w:val="auto"/>
          <w:kern w:val="0"/>
          <w:szCs w:val="30"/>
        </w:rPr>
        <w:t>4.4总体质量评价</w:t>
      </w:r>
      <w:bookmarkEnd w:id="84"/>
      <w:bookmarkEnd w:id="85"/>
      <w:bookmarkEnd w:id="88"/>
      <w:bookmarkEnd w:id="89"/>
    </w:p>
    <w:p w14:paraId="4E97B6B6">
      <w:pPr>
        <w:widowControl/>
        <w:adjustRightInd w:val="0"/>
        <w:snapToGrid w:val="0"/>
        <w:ind w:firstLine="560"/>
        <w:rPr>
          <w:rFonts w:eastAsia="仿宋"/>
          <w:color w:val="auto"/>
          <w:kern w:val="0"/>
          <w:szCs w:val="22"/>
        </w:rPr>
      </w:pPr>
      <w:r>
        <w:rPr>
          <w:rFonts w:eastAsia="仿宋"/>
          <w:color w:val="auto"/>
          <w:kern w:val="0"/>
          <w:szCs w:val="22"/>
        </w:rPr>
        <w:t>自查初验表明，工程落实了水土保持方案中的水土保持措施及要求，已建水土保持设施工程质量合格，运行正常，已建成的水土保持设施管理维护工作由建设单位负责。</w:t>
      </w:r>
    </w:p>
    <w:p w14:paraId="4A2875A0">
      <w:pPr>
        <w:widowControl/>
        <w:adjustRightInd w:val="0"/>
        <w:snapToGrid w:val="0"/>
        <w:ind w:firstLine="560"/>
        <w:rPr>
          <w:rFonts w:eastAsia="仿宋"/>
          <w:color w:val="auto"/>
          <w:kern w:val="0"/>
          <w:szCs w:val="22"/>
        </w:rPr>
        <w:sectPr>
          <w:headerReference r:id="rId22" w:type="default"/>
          <w:headerReference r:id="rId23"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p>
    <w:p w14:paraId="48449425">
      <w:pPr>
        <w:pStyle w:val="2"/>
        <w:widowControl/>
        <w:adjustRightInd w:val="0"/>
        <w:snapToGrid w:val="0"/>
        <w:spacing w:line="480" w:lineRule="auto"/>
        <w:ind w:firstLine="723"/>
        <w:rPr>
          <w:rFonts w:eastAsia="仿宋"/>
          <w:color w:val="auto"/>
          <w:szCs w:val="22"/>
        </w:rPr>
      </w:pPr>
      <w:bookmarkStart w:id="90" w:name="_Toc11931"/>
      <w:bookmarkStart w:id="91" w:name="_Toc15868"/>
      <w:bookmarkStart w:id="92" w:name="_Toc981"/>
      <w:r>
        <w:rPr>
          <w:rFonts w:eastAsia="仿宋"/>
          <w:color w:val="auto"/>
          <w:szCs w:val="22"/>
        </w:rPr>
        <w:t>5</w:t>
      </w:r>
      <w:r>
        <w:rPr>
          <w:rFonts w:hint="eastAsia" w:eastAsia="仿宋"/>
          <w:color w:val="auto"/>
          <w:szCs w:val="22"/>
        </w:rPr>
        <w:t xml:space="preserve"> </w:t>
      </w:r>
      <w:r>
        <w:rPr>
          <w:rFonts w:eastAsia="仿宋"/>
          <w:color w:val="auto"/>
          <w:szCs w:val="22"/>
        </w:rPr>
        <w:t>工程初期运行及水土保持效果</w:t>
      </w:r>
      <w:bookmarkEnd w:id="90"/>
      <w:bookmarkEnd w:id="91"/>
      <w:bookmarkEnd w:id="92"/>
    </w:p>
    <w:p w14:paraId="2801ED97">
      <w:pPr>
        <w:pStyle w:val="3"/>
        <w:widowControl/>
        <w:rPr>
          <w:color w:val="auto"/>
          <w:kern w:val="0"/>
          <w:sz w:val="28"/>
        </w:rPr>
      </w:pPr>
      <w:bookmarkStart w:id="93" w:name="_Toc24227"/>
      <w:bookmarkStart w:id="94" w:name="_Toc19755"/>
      <w:r>
        <w:rPr>
          <w:color w:val="auto"/>
          <w:kern w:val="0"/>
          <w:sz w:val="28"/>
        </w:rPr>
        <w:t>5.1初期运行情况</w:t>
      </w:r>
      <w:bookmarkEnd w:id="93"/>
      <w:bookmarkEnd w:id="94"/>
    </w:p>
    <w:p w14:paraId="0572BDD1">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工程运行初期，水土保持各项措施已建成，雨水管网</w:t>
      </w:r>
      <w:r>
        <w:rPr>
          <w:rFonts w:hint="eastAsia"/>
          <w:color w:val="auto"/>
          <w:kern w:val="0"/>
          <w:szCs w:val="22"/>
          <w:lang w:eastAsia="zh-CN"/>
        </w:rPr>
        <w:t>、</w:t>
      </w:r>
      <w:r>
        <w:rPr>
          <w:rFonts w:hint="eastAsia"/>
          <w:color w:val="auto"/>
          <w:kern w:val="0"/>
          <w:szCs w:val="22"/>
          <w:lang w:val="en-US" w:eastAsia="zh-CN"/>
        </w:rPr>
        <w:t>透水砖、植草砖</w:t>
      </w:r>
      <w:r>
        <w:rPr>
          <w:color w:val="auto"/>
          <w:kern w:val="0"/>
          <w:szCs w:val="22"/>
        </w:rPr>
        <w:t>措施运行正常，已实施的植物绿化生长良好，达到了绿化美化和水土保持的功效。</w:t>
      </w:r>
    </w:p>
    <w:p w14:paraId="214ED68D">
      <w:pPr>
        <w:pStyle w:val="3"/>
        <w:keepNext w:val="0"/>
        <w:keepLines w:val="0"/>
        <w:pageBreakBefore w:val="0"/>
        <w:widowControl w:val="0"/>
        <w:kinsoku/>
        <w:wordWrap/>
        <w:overflowPunct/>
        <w:topLinePunct w:val="0"/>
        <w:autoSpaceDE/>
        <w:autoSpaceDN/>
        <w:bidi w:val="0"/>
        <w:ind w:firstLine="602" w:firstLineChars="200"/>
        <w:textAlignment w:val="auto"/>
        <w:rPr>
          <w:color w:val="auto"/>
        </w:rPr>
      </w:pPr>
      <w:bookmarkStart w:id="95" w:name="_Toc31274"/>
      <w:bookmarkStart w:id="96" w:name="_Toc21279"/>
      <w:bookmarkStart w:id="97" w:name="_Toc3019"/>
      <w:bookmarkStart w:id="98" w:name="_Toc560"/>
      <w:r>
        <w:rPr>
          <w:color w:val="auto"/>
          <w:kern w:val="0"/>
        </w:rPr>
        <w:t>5.2</w:t>
      </w:r>
      <w:r>
        <w:rPr>
          <w:color w:val="auto"/>
        </w:rPr>
        <w:t>水土保持效果</w:t>
      </w:r>
      <w:bookmarkEnd w:id="95"/>
      <w:bookmarkEnd w:id="96"/>
      <w:bookmarkEnd w:id="97"/>
      <w:bookmarkEnd w:id="98"/>
    </w:p>
    <w:p w14:paraId="64AC555B">
      <w:pPr>
        <w:keepNext w:val="0"/>
        <w:keepLines w:val="0"/>
        <w:pageBreakBefore w:val="0"/>
        <w:widowControl w:val="0"/>
        <w:kinsoku/>
        <w:wordWrap/>
        <w:overflowPunct/>
        <w:topLinePunct w:val="0"/>
        <w:autoSpaceDE/>
        <w:autoSpaceDN/>
        <w:bidi w:val="0"/>
        <w:ind w:firstLine="560" w:firstLineChars="200"/>
        <w:textAlignment w:val="auto"/>
        <w:rPr>
          <w:rFonts w:hint="eastAsia"/>
          <w:color w:val="auto"/>
        </w:rPr>
      </w:pPr>
      <w:r>
        <w:rPr>
          <w:rFonts w:hint="eastAsia"/>
          <w:color w:val="auto"/>
        </w:rPr>
        <w:t>根据水土保持监测报告，</w:t>
      </w:r>
      <w:r>
        <w:rPr>
          <w:color w:val="auto"/>
        </w:rPr>
        <w:t>水土流失</w:t>
      </w:r>
      <w:r>
        <w:rPr>
          <w:rFonts w:hint="eastAsia"/>
          <w:color w:val="auto"/>
        </w:rPr>
        <w:t>防治“六项指标”情况如下：</w:t>
      </w:r>
    </w:p>
    <w:p w14:paraId="6B1B2560">
      <w:pPr>
        <w:keepNext w:val="0"/>
        <w:keepLines w:val="0"/>
        <w:pageBreakBefore w:val="0"/>
        <w:widowControl w:val="0"/>
        <w:kinsoku/>
        <w:wordWrap/>
        <w:overflowPunct/>
        <w:topLinePunct w:val="0"/>
        <w:autoSpaceDE/>
        <w:autoSpaceDN/>
        <w:bidi w:val="0"/>
        <w:adjustRightInd/>
        <w:snapToGrid/>
        <w:ind w:firstLine="560" w:firstLineChars="200"/>
        <w:textAlignment w:val="auto"/>
        <w:rPr>
          <w:color w:val="auto"/>
        </w:rPr>
      </w:pPr>
      <w:r>
        <w:rPr>
          <w:rFonts w:hint="eastAsia"/>
          <w:color w:val="auto"/>
        </w:rPr>
        <w:t>（1）水土流失治理度</w:t>
      </w:r>
    </w:p>
    <w:p w14:paraId="540C061A">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olor w:val="auto"/>
        </w:rPr>
      </w:pPr>
      <w:r>
        <w:rPr>
          <w:rFonts w:hint="eastAsia"/>
          <w:color w:val="auto"/>
        </w:rPr>
        <w:t>项目区总占地面积</w:t>
      </w:r>
      <w:r>
        <w:rPr>
          <w:rFonts w:hint="eastAsia"/>
          <w:color w:val="auto"/>
          <w:lang w:val="en-US" w:eastAsia="zh-CN"/>
        </w:rPr>
        <w:t>2.90h</w:t>
      </w:r>
      <w:r>
        <w:rPr>
          <w:rFonts w:hint="eastAsia"/>
          <w:color w:val="auto"/>
          <w:lang w:eastAsia="zh-CN"/>
        </w:rPr>
        <w:t>m</w:t>
      </w:r>
      <w:r>
        <w:rPr>
          <w:rFonts w:hint="eastAsia"/>
          <w:color w:val="auto"/>
          <w:vertAlign w:val="superscript"/>
          <w:lang w:eastAsia="zh-CN"/>
        </w:rPr>
        <w:t>2</w:t>
      </w:r>
      <w:r>
        <w:rPr>
          <w:rFonts w:hint="eastAsia"/>
          <w:color w:val="auto"/>
        </w:rPr>
        <w:t>，治理达标面积</w:t>
      </w:r>
      <w:r>
        <w:rPr>
          <w:rFonts w:hint="eastAsia"/>
          <w:color w:val="auto"/>
          <w:lang w:val="en-US" w:eastAsia="zh-CN"/>
        </w:rPr>
        <w:t>2.88</w:t>
      </w:r>
      <w:r>
        <w:rPr>
          <w:rFonts w:hint="eastAsia"/>
          <w:color w:val="auto"/>
          <w:lang w:eastAsia="zh-CN"/>
        </w:rPr>
        <w:t>m</w:t>
      </w:r>
      <w:r>
        <w:rPr>
          <w:rFonts w:hint="eastAsia"/>
          <w:color w:val="auto"/>
          <w:vertAlign w:val="superscript"/>
          <w:lang w:eastAsia="zh-CN"/>
        </w:rPr>
        <w:t>2</w:t>
      </w:r>
      <w:r>
        <w:rPr>
          <w:rFonts w:hint="eastAsia"/>
          <w:color w:val="auto"/>
        </w:rPr>
        <w:t>，水土流失治理度可达</w:t>
      </w:r>
      <w:r>
        <w:rPr>
          <w:rFonts w:hint="eastAsia"/>
          <w:color w:val="auto"/>
          <w:lang w:val="en-US" w:eastAsia="zh-CN"/>
        </w:rPr>
        <w:t>99.31</w:t>
      </w:r>
      <w:r>
        <w:rPr>
          <w:rFonts w:hint="eastAsia"/>
          <w:color w:val="auto"/>
        </w:rPr>
        <w:t>%，</w:t>
      </w:r>
      <w:r>
        <w:rPr>
          <w:color w:val="auto"/>
        </w:rPr>
        <w:t>达到建设类</w:t>
      </w:r>
      <w:r>
        <w:rPr>
          <w:rFonts w:hint="eastAsia"/>
          <w:color w:val="auto"/>
        </w:rPr>
        <w:t>一</w:t>
      </w:r>
      <w:r>
        <w:rPr>
          <w:color w:val="auto"/>
        </w:rPr>
        <w:t>级标准</w:t>
      </w:r>
      <w:r>
        <w:rPr>
          <w:rFonts w:hint="eastAsia"/>
          <w:color w:val="auto"/>
        </w:rPr>
        <w:t>。</w:t>
      </w:r>
    </w:p>
    <w:p w14:paraId="6CD285CA">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rFonts w:eastAsia="仿宋"/>
          <w:bCs/>
          <w:color w:val="auto"/>
          <w:szCs w:val="28"/>
        </w:rPr>
        <w:t>（2）</w:t>
      </w:r>
      <w:r>
        <w:rPr>
          <w:color w:val="auto"/>
          <w:kern w:val="0"/>
          <w:szCs w:val="22"/>
        </w:rPr>
        <w:t>土壤流失控制比</w:t>
      </w:r>
    </w:p>
    <w:p w14:paraId="348D75C7">
      <w:pPr>
        <w:keepNext w:val="0"/>
        <w:keepLines w:val="0"/>
        <w:pageBreakBefore w:val="0"/>
        <w:widowControl w:val="0"/>
        <w:kinsoku/>
        <w:wordWrap/>
        <w:overflowPunct/>
        <w:topLinePunct w:val="0"/>
        <w:autoSpaceDE/>
        <w:autoSpaceDN/>
        <w:bidi w:val="0"/>
        <w:ind w:firstLine="560" w:firstLineChars="200"/>
        <w:textAlignment w:val="auto"/>
        <w:rPr>
          <w:rFonts w:hint="eastAsia"/>
          <w:color w:val="auto"/>
        </w:rPr>
      </w:pPr>
      <w:r>
        <w:rPr>
          <w:color w:val="auto"/>
        </w:rPr>
        <w:t>项目建设区平均土壤流失量将降到</w:t>
      </w:r>
      <w:r>
        <w:rPr>
          <w:rFonts w:hint="eastAsia"/>
          <w:color w:val="auto"/>
          <w:lang w:val="en-US" w:eastAsia="zh-CN"/>
        </w:rPr>
        <w:t>32</w:t>
      </w:r>
      <w:r>
        <w:rPr>
          <w:rFonts w:hint="eastAsia"/>
          <w:color w:val="auto"/>
          <w:lang w:eastAsia="zh-CN"/>
        </w:rPr>
        <w:t>0</w:t>
      </w:r>
      <w:r>
        <w:rPr>
          <w:color w:val="auto"/>
        </w:rPr>
        <w:t>t/km</w:t>
      </w:r>
      <w:r>
        <w:rPr>
          <w:color w:val="auto"/>
          <w:vertAlign w:val="superscript"/>
        </w:rPr>
        <w:t>2</w:t>
      </w:r>
      <w:r>
        <w:rPr>
          <w:color w:val="auto"/>
        </w:rPr>
        <w:t>·a，项目区容许土壤流失量500t/km</w:t>
      </w:r>
      <w:r>
        <w:rPr>
          <w:color w:val="auto"/>
          <w:vertAlign w:val="superscript"/>
        </w:rPr>
        <w:t>2</w:t>
      </w:r>
      <w:r>
        <w:rPr>
          <w:color w:val="auto"/>
        </w:rPr>
        <w:t>·a，其土壤流失控制比为1.</w:t>
      </w:r>
      <w:r>
        <w:rPr>
          <w:rFonts w:hint="eastAsia"/>
          <w:color w:val="auto"/>
          <w:lang w:val="en-US" w:eastAsia="zh-CN"/>
        </w:rPr>
        <w:t>56</w:t>
      </w:r>
      <w:r>
        <w:rPr>
          <w:rFonts w:hint="eastAsia"/>
          <w:color w:val="auto"/>
        </w:rPr>
        <w:t>，</w:t>
      </w:r>
      <w:r>
        <w:rPr>
          <w:color w:val="auto"/>
        </w:rPr>
        <w:t>达到建设类</w:t>
      </w:r>
      <w:r>
        <w:rPr>
          <w:rFonts w:hint="eastAsia"/>
          <w:color w:val="auto"/>
        </w:rPr>
        <w:t>一</w:t>
      </w:r>
      <w:r>
        <w:rPr>
          <w:color w:val="auto"/>
        </w:rPr>
        <w:t>级标准</w:t>
      </w:r>
      <w:r>
        <w:rPr>
          <w:rFonts w:hint="eastAsia"/>
          <w:color w:val="auto"/>
        </w:rPr>
        <w:t>。</w:t>
      </w:r>
    </w:p>
    <w:p w14:paraId="58EC0C07">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eastAsia="仿宋"/>
          <w:bCs/>
          <w:color w:val="auto"/>
          <w:szCs w:val="28"/>
        </w:rPr>
      </w:pPr>
      <w:r>
        <w:rPr>
          <w:rFonts w:eastAsia="仿宋"/>
          <w:bCs/>
          <w:color w:val="auto"/>
          <w:szCs w:val="28"/>
        </w:rPr>
        <w:t>（3）渣土防护率</w:t>
      </w:r>
    </w:p>
    <w:p w14:paraId="253CCE5B">
      <w:pPr>
        <w:keepNext w:val="0"/>
        <w:keepLines w:val="0"/>
        <w:pageBreakBefore w:val="0"/>
        <w:widowControl w:val="0"/>
        <w:kinsoku/>
        <w:wordWrap/>
        <w:overflowPunct/>
        <w:topLinePunct w:val="0"/>
        <w:autoSpaceDE/>
        <w:autoSpaceDN/>
        <w:bidi w:val="0"/>
        <w:ind w:firstLine="560" w:firstLineChars="200"/>
        <w:textAlignment w:val="auto"/>
        <w:rPr>
          <w:rFonts w:hint="eastAsia"/>
          <w:color w:val="auto"/>
        </w:rPr>
      </w:pPr>
      <w:r>
        <w:rPr>
          <w:rFonts w:hint="eastAsia" w:ascii="Times New Roman" w:hAnsi="Times New Roman" w:cs="Times New Roman"/>
          <w:color w:val="auto"/>
        </w:rPr>
        <w:t>本项目临时堆土</w:t>
      </w:r>
      <w:r>
        <w:rPr>
          <w:rFonts w:hint="eastAsia" w:ascii="Times New Roman" w:hAnsi="Times New Roman" w:cs="Times New Roman"/>
          <w:color w:val="auto"/>
          <w:lang w:val="en-US" w:eastAsia="zh-CN"/>
        </w:rPr>
        <w:t>0.86</w:t>
      </w:r>
      <w:r>
        <w:rPr>
          <w:rFonts w:hint="eastAsia" w:ascii="Times New Roman" w:hAnsi="Times New Roman" w:cs="Times New Roman"/>
          <w:color w:val="auto"/>
        </w:rPr>
        <w:t>万</w:t>
      </w:r>
      <w:r>
        <w:rPr>
          <w:rFonts w:hint="eastAsia" w:ascii="Times New Roman" w:hAnsi="Times New Roman" w:cs="Times New Roman"/>
          <w:color w:val="auto"/>
          <w:lang w:eastAsia="zh-CN"/>
        </w:rPr>
        <w:t>m</w:t>
      </w:r>
      <w:r>
        <w:rPr>
          <w:rFonts w:hint="eastAsia" w:ascii="Times New Roman" w:hAnsi="Times New Roman" w:cs="Times New Roman"/>
          <w:color w:val="auto"/>
          <w:vertAlign w:val="superscript"/>
          <w:lang w:eastAsia="zh-CN"/>
        </w:rPr>
        <w:t>3</w:t>
      </w:r>
      <w:r>
        <w:rPr>
          <w:rFonts w:hint="eastAsia" w:ascii="Times New Roman" w:hAnsi="Times New Roman" w:cs="Times New Roman"/>
          <w:color w:val="auto"/>
        </w:rPr>
        <w:t>，采取临时覆盖后，实际拦挡堆土量</w:t>
      </w:r>
      <w:r>
        <w:rPr>
          <w:rFonts w:hint="eastAsia" w:ascii="Times New Roman" w:hAnsi="Times New Roman" w:cs="Times New Roman"/>
          <w:color w:val="auto"/>
          <w:lang w:val="en-US" w:eastAsia="zh-CN"/>
        </w:rPr>
        <w:t>0.856</w:t>
      </w:r>
      <w:r>
        <w:rPr>
          <w:rFonts w:hint="eastAsia" w:ascii="Times New Roman" w:hAnsi="Times New Roman" w:cs="Times New Roman"/>
          <w:color w:val="auto"/>
        </w:rPr>
        <w:t>万</w:t>
      </w:r>
      <w:r>
        <w:rPr>
          <w:rFonts w:hint="eastAsia" w:ascii="Times New Roman" w:hAnsi="Times New Roman" w:cs="Times New Roman"/>
          <w:color w:val="auto"/>
          <w:lang w:eastAsia="zh-CN"/>
        </w:rPr>
        <w:t>m</w:t>
      </w:r>
      <w:r>
        <w:rPr>
          <w:rFonts w:hint="eastAsia" w:ascii="Times New Roman" w:hAnsi="Times New Roman" w:cs="Times New Roman"/>
          <w:color w:val="auto"/>
          <w:vertAlign w:val="superscript"/>
          <w:lang w:eastAsia="zh-CN"/>
        </w:rPr>
        <w:t>3</w:t>
      </w:r>
      <w:r>
        <w:rPr>
          <w:rFonts w:hint="eastAsia" w:cs="Times New Roman"/>
          <w:color w:val="auto"/>
          <w:lang w:eastAsia="zh-CN"/>
        </w:rPr>
        <w:t>，</w:t>
      </w:r>
      <w:r>
        <w:rPr>
          <w:rFonts w:hint="eastAsia" w:ascii="Times New Roman" w:hAnsi="Times New Roman" w:cs="Times New Roman"/>
          <w:color w:val="auto"/>
        </w:rPr>
        <w:t>本工程渣土防护率可达</w:t>
      </w:r>
      <w:r>
        <w:rPr>
          <w:rFonts w:hint="eastAsia" w:ascii="Times New Roman" w:hAnsi="Times New Roman" w:cs="Times New Roman"/>
          <w:color w:val="auto"/>
          <w:lang w:val="en-US" w:eastAsia="zh-CN"/>
        </w:rPr>
        <w:t>99.53</w:t>
      </w:r>
      <w:r>
        <w:rPr>
          <w:rFonts w:hint="eastAsia" w:ascii="Times New Roman" w:hAnsi="Times New Roman" w:cs="Times New Roman"/>
          <w:color w:val="auto"/>
        </w:rPr>
        <w:t>%，达到建设类一级标准</w:t>
      </w:r>
      <w:r>
        <w:rPr>
          <w:rFonts w:hint="eastAsia"/>
          <w:color w:val="auto"/>
        </w:rPr>
        <w:t>。</w:t>
      </w:r>
    </w:p>
    <w:p w14:paraId="0F26E832">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bCs/>
          <w:color w:val="auto"/>
          <w:szCs w:val="28"/>
        </w:rPr>
      </w:pPr>
      <w:r>
        <w:rPr>
          <w:rFonts w:hint="eastAsia"/>
          <w:bCs/>
          <w:color w:val="auto"/>
          <w:szCs w:val="28"/>
        </w:rPr>
        <w:t>（4）表土保护率</w:t>
      </w:r>
    </w:p>
    <w:p w14:paraId="6D984B8D">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bCs/>
          <w:color w:val="auto"/>
          <w:szCs w:val="28"/>
        </w:rPr>
      </w:pPr>
      <w:r>
        <w:rPr>
          <w:rFonts w:hint="eastAsia"/>
          <w:bCs/>
          <w:color w:val="auto"/>
          <w:szCs w:val="28"/>
        </w:rPr>
        <w:t>根据业主提供资料，建设单位接纳该场地时，场地内已无可剥离表土，故本项目表土保护率不</w:t>
      </w:r>
      <w:r>
        <w:rPr>
          <w:rFonts w:hint="eastAsia"/>
          <w:bCs/>
          <w:color w:val="auto"/>
          <w:szCs w:val="28"/>
          <w:lang w:eastAsia="zh-CN"/>
        </w:rPr>
        <w:t>作</w:t>
      </w:r>
      <w:r>
        <w:rPr>
          <w:rFonts w:hint="eastAsia"/>
          <w:bCs/>
          <w:color w:val="auto"/>
          <w:szCs w:val="28"/>
        </w:rPr>
        <w:t>评价。</w:t>
      </w:r>
    </w:p>
    <w:p w14:paraId="02DAEC22">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（5）林草植被恢复率</w:t>
      </w:r>
    </w:p>
    <w:p w14:paraId="2676448B">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olor w:val="auto"/>
        </w:rPr>
      </w:pPr>
      <w:r>
        <w:rPr>
          <w:rFonts w:hint="eastAsia"/>
          <w:color w:val="auto"/>
        </w:rPr>
        <w:t>本项目场地林草植被面积</w:t>
      </w:r>
      <w:r>
        <w:rPr>
          <w:rFonts w:hint="eastAsia"/>
          <w:color w:val="auto"/>
          <w:lang w:val="en-US" w:eastAsia="zh-CN"/>
        </w:rPr>
        <w:t>0.82h</w:t>
      </w:r>
      <w:r>
        <w:rPr>
          <w:rFonts w:hint="eastAsia"/>
          <w:color w:val="auto"/>
          <w:lang w:eastAsia="zh-CN"/>
        </w:rPr>
        <w:t>m</w:t>
      </w:r>
      <w:r>
        <w:rPr>
          <w:rFonts w:hint="eastAsia"/>
          <w:color w:val="auto"/>
          <w:vertAlign w:val="superscript"/>
          <w:lang w:eastAsia="zh-CN"/>
        </w:rPr>
        <w:t>2</w:t>
      </w:r>
      <w:r>
        <w:rPr>
          <w:rFonts w:hint="eastAsia"/>
          <w:color w:val="auto"/>
        </w:rPr>
        <w:t>，实际可恢复林草植被面积约</w:t>
      </w:r>
      <w:r>
        <w:rPr>
          <w:rFonts w:hint="eastAsia"/>
          <w:color w:val="auto"/>
          <w:lang w:val="en-US" w:eastAsia="zh-CN"/>
        </w:rPr>
        <w:t>0.83h</w:t>
      </w:r>
      <w:r>
        <w:rPr>
          <w:rFonts w:hint="eastAsia"/>
          <w:color w:val="auto"/>
          <w:lang w:eastAsia="zh-CN"/>
        </w:rPr>
        <w:t>m</w:t>
      </w:r>
      <w:r>
        <w:rPr>
          <w:rFonts w:hint="eastAsia"/>
          <w:color w:val="auto"/>
          <w:vertAlign w:val="superscript"/>
          <w:lang w:eastAsia="zh-CN"/>
        </w:rPr>
        <w:t>2</w:t>
      </w:r>
      <w:r>
        <w:rPr>
          <w:rFonts w:hint="eastAsia"/>
          <w:color w:val="auto"/>
        </w:rPr>
        <w:t>，林草植被恢复率达到</w:t>
      </w:r>
      <w:r>
        <w:rPr>
          <w:rFonts w:hint="eastAsia"/>
          <w:color w:val="auto"/>
          <w:lang w:val="en-US" w:eastAsia="zh-CN"/>
        </w:rPr>
        <w:t>98.80</w:t>
      </w:r>
      <w:r>
        <w:rPr>
          <w:rFonts w:hint="eastAsia"/>
          <w:color w:val="auto"/>
        </w:rPr>
        <w:t>%，</w:t>
      </w:r>
      <w:r>
        <w:rPr>
          <w:color w:val="auto"/>
        </w:rPr>
        <w:t>达到建设类</w:t>
      </w:r>
      <w:r>
        <w:rPr>
          <w:rFonts w:hint="eastAsia"/>
          <w:color w:val="auto"/>
        </w:rPr>
        <w:t>一</w:t>
      </w:r>
      <w:r>
        <w:rPr>
          <w:color w:val="auto"/>
        </w:rPr>
        <w:t>级标准</w:t>
      </w:r>
      <w:r>
        <w:rPr>
          <w:rFonts w:hint="eastAsia"/>
          <w:color w:val="auto"/>
        </w:rPr>
        <w:t>。</w:t>
      </w:r>
    </w:p>
    <w:p w14:paraId="6DE59247">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（6）林草覆盖率</w:t>
      </w:r>
    </w:p>
    <w:p w14:paraId="3D80374D">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rFonts w:hint="eastAsia"/>
          <w:color w:val="auto"/>
        </w:rPr>
        <w:t>本项目场地林草植被面积</w:t>
      </w:r>
      <w:r>
        <w:rPr>
          <w:rFonts w:hint="eastAsia"/>
          <w:color w:val="auto"/>
          <w:lang w:val="en-US" w:eastAsia="zh-CN"/>
        </w:rPr>
        <w:t>0.82h</w:t>
      </w:r>
      <w:r>
        <w:rPr>
          <w:rFonts w:hint="eastAsia"/>
          <w:color w:val="auto"/>
          <w:lang w:eastAsia="zh-CN"/>
        </w:rPr>
        <w:t>m</w:t>
      </w:r>
      <w:r>
        <w:rPr>
          <w:rFonts w:hint="eastAsia"/>
          <w:color w:val="auto"/>
          <w:vertAlign w:val="superscript"/>
          <w:lang w:eastAsia="zh-CN"/>
        </w:rPr>
        <w:t>2</w:t>
      </w:r>
      <w:r>
        <w:rPr>
          <w:rFonts w:hint="eastAsia"/>
          <w:color w:val="auto"/>
        </w:rPr>
        <w:t>，项目总占地面积</w:t>
      </w:r>
      <w:r>
        <w:rPr>
          <w:rFonts w:hint="eastAsia"/>
          <w:color w:val="auto"/>
          <w:lang w:val="en-US" w:eastAsia="zh-CN"/>
        </w:rPr>
        <w:t>2.9h</w:t>
      </w:r>
      <w:r>
        <w:rPr>
          <w:rFonts w:hint="eastAsia"/>
          <w:color w:val="auto"/>
          <w:lang w:eastAsia="zh-CN"/>
        </w:rPr>
        <w:t>m</w:t>
      </w:r>
      <w:r>
        <w:rPr>
          <w:rFonts w:hint="eastAsia"/>
          <w:color w:val="auto"/>
          <w:vertAlign w:val="superscript"/>
          <w:lang w:eastAsia="zh-CN"/>
        </w:rPr>
        <w:t>2</w:t>
      </w:r>
      <w:r>
        <w:rPr>
          <w:rFonts w:hint="eastAsia"/>
          <w:color w:val="auto"/>
        </w:rPr>
        <w:t>，项目林草覆盖率可达</w:t>
      </w:r>
      <w:r>
        <w:rPr>
          <w:rFonts w:hint="eastAsia"/>
          <w:color w:val="auto"/>
          <w:lang w:val="en-US" w:eastAsia="zh-CN"/>
        </w:rPr>
        <w:t>28.28</w:t>
      </w:r>
      <w:r>
        <w:rPr>
          <w:rFonts w:hint="eastAsia"/>
          <w:color w:val="auto"/>
        </w:rPr>
        <w:t>%，</w:t>
      </w:r>
      <w:r>
        <w:rPr>
          <w:color w:val="auto"/>
        </w:rPr>
        <w:t>达到建设类</w:t>
      </w:r>
      <w:r>
        <w:rPr>
          <w:rFonts w:hint="eastAsia"/>
          <w:color w:val="auto"/>
        </w:rPr>
        <w:t>一</w:t>
      </w:r>
      <w:r>
        <w:rPr>
          <w:color w:val="auto"/>
        </w:rPr>
        <w:t>级标准</w:t>
      </w:r>
      <w:r>
        <w:rPr>
          <w:color w:val="auto"/>
          <w:kern w:val="0"/>
          <w:szCs w:val="22"/>
        </w:rPr>
        <w:t>。</w:t>
      </w:r>
    </w:p>
    <w:p w14:paraId="048A536C">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color w:val="auto"/>
          <w:kern w:val="0"/>
          <w:szCs w:val="22"/>
        </w:rPr>
      </w:pPr>
      <w:r>
        <w:rPr>
          <w:color w:val="auto"/>
          <w:kern w:val="0"/>
          <w:szCs w:val="22"/>
        </w:rPr>
        <w:t>综上所述，</w:t>
      </w:r>
      <w:r>
        <w:rPr>
          <w:rFonts w:hint="eastAsia"/>
          <w:color w:val="auto"/>
          <w:kern w:val="0"/>
          <w:szCs w:val="22"/>
          <w:lang w:val="en-US" w:eastAsia="zh-CN"/>
        </w:rPr>
        <w:t>六项</w:t>
      </w:r>
      <w:r>
        <w:rPr>
          <w:rFonts w:hint="eastAsia"/>
          <w:color w:val="auto"/>
          <w:kern w:val="0"/>
          <w:szCs w:val="22"/>
        </w:rPr>
        <w:t>指标均</w:t>
      </w:r>
      <w:r>
        <w:rPr>
          <w:color w:val="auto"/>
          <w:kern w:val="0"/>
          <w:szCs w:val="22"/>
        </w:rPr>
        <w:t>可达到防治目标要求</w:t>
      </w:r>
      <w:r>
        <w:rPr>
          <w:rFonts w:hint="eastAsia"/>
          <w:color w:val="auto"/>
          <w:kern w:val="0"/>
          <w:szCs w:val="22"/>
        </w:rPr>
        <w:t>，</w:t>
      </w:r>
      <w:r>
        <w:rPr>
          <w:color w:val="auto"/>
          <w:kern w:val="0"/>
          <w:szCs w:val="22"/>
        </w:rPr>
        <w:t>本项目水土保持措施实施后，可以有效控制新增水土流失数量，维护工程区生态环境。</w:t>
      </w:r>
    </w:p>
    <w:p w14:paraId="2B9E4EFC">
      <w:pPr>
        <w:pStyle w:val="3"/>
        <w:widowControl/>
        <w:rPr>
          <w:rFonts w:eastAsia="仿宋"/>
          <w:color w:val="auto"/>
          <w:kern w:val="0"/>
          <w:szCs w:val="30"/>
        </w:rPr>
      </w:pPr>
      <w:bookmarkStart w:id="99" w:name="_Toc14186"/>
      <w:r>
        <w:rPr>
          <w:rFonts w:eastAsia="仿宋"/>
          <w:color w:val="auto"/>
          <w:kern w:val="0"/>
          <w:szCs w:val="30"/>
        </w:rPr>
        <w:t>5.3公众满意度调查</w:t>
      </w:r>
      <w:bookmarkEnd w:id="99"/>
    </w:p>
    <w:p w14:paraId="78ADFE6E">
      <w:pPr>
        <w:widowControl/>
        <w:adjustRightInd w:val="0"/>
        <w:snapToGrid w:val="0"/>
        <w:ind w:firstLine="560"/>
        <w:rPr>
          <w:rFonts w:eastAsia="仿宋"/>
          <w:color w:val="auto"/>
          <w:kern w:val="0"/>
          <w:szCs w:val="22"/>
        </w:rPr>
      </w:pPr>
      <w:r>
        <w:rPr>
          <w:rFonts w:eastAsia="仿宋"/>
          <w:color w:val="auto"/>
          <w:kern w:val="0"/>
          <w:szCs w:val="22"/>
        </w:rPr>
        <w:t>在自验小组过程中，向</w:t>
      </w:r>
      <w:r>
        <w:rPr>
          <w:rFonts w:hint="eastAsia" w:eastAsia="仿宋"/>
          <w:color w:val="auto"/>
          <w:kern w:val="0"/>
          <w:szCs w:val="22"/>
        </w:rPr>
        <w:t>“</w:t>
      </w:r>
      <w:r>
        <w:rPr>
          <w:rFonts w:hint="eastAsia" w:eastAsia="仿宋"/>
          <w:color w:val="auto"/>
          <w:kern w:val="0"/>
          <w:szCs w:val="22"/>
          <w:lang w:eastAsia="zh-CN"/>
        </w:rPr>
        <w:t>福州市延安中学教育集团国福校区</w:t>
      </w:r>
      <w:r>
        <w:rPr>
          <w:rFonts w:hint="eastAsia" w:eastAsia="仿宋"/>
          <w:color w:val="auto"/>
          <w:kern w:val="0"/>
          <w:szCs w:val="22"/>
        </w:rPr>
        <w:t>”</w:t>
      </w:r>
      <w:r>
        <w:rPr>
          <w:rFonts w:eastAsia="仿宋"/>
          <w:color w:val="auto"/>
          <w:kern w:val="0"/>
          <w:szCs w:val="22"/>
        </w:rPr>
        <w:t>周边的居民进行了调查，调查结果显示：被调查者</w:t>
      </w:r>
      <w:r>
        <w:rPr>
          <w:rFonts w:hint="eastAsia" w:eastAsia="仿宋"/>
          <w:color w:val="auto"/>
          <w:kern w:val="0"/>
          <w:szCs w:val="22"/>
          <w:lang w:val="en-US" w:eastAsia="zh-CN"/>
        </w:rPr>
        <w:t>24</w:t>
      </w:r>
      <w:r>
        <w:rPr>
          <w:rFonts w:eastAsia="仿宋"/>
          <w:color w:val="auto"/>
          <w:kern w:val="0"/>
          <w:szCs w:val="22"/>
        </w:rPr>
        <w:t>人中，除部分人对“</w:t>
      </w:r>
      <w:r>
        <w:rPr>
          <w:rFonts w:hint="eastAsia" w:eastAsia="仿宋"/>
          <w:bCs/>
          <w:color w:val="auto"/>
          <w:szCs w:val="28"/>
          <w:lang w:eastAsia="zh-CN"/>
        </w:rPr>
        <w:t>福州市延安中学教育集团国福校区</w:t>
      </w:r>
      <w:r>
        <w:rPr>
          <w:rFonts w:eastAsia="仿宋"/>
          <w:color w:val="auto"/>
          <w:kern w:val="0"/>
          <w:szCs w:val="22"/>
        </w:rPr>
        <w:t>”水土流失情况不了解“说不清”外，有</w:t>
      </w:r>
      <w:r>
        <w:rPr>
          <w:rFonts w:hint="eastAsia" w:eastAsia="仿宋"/>
          <w:color w:val="auto"/>
          <w:kern w:val="0"/>
          <w:szCs w:val="22"/>
          <w:lang w:val="en-US" w:eastAsia="zh-CN"/>
        </w:rPr>
        <w:t>22</w:t>
      </w:r>
      <w:r>
        <w:rPr>
          <w:rFonts w:eastAsia="仿宋"/>
          <w:color w:val="auto"/>
          <w:kern w:val="0"/>
          <w:szCs w:val="22"/>
        </w:rPr>
        <w:t>人认为该项目建设过程中采取了有效的</w:t>
      </w:r>
      <w:r>
        <w:rPr>
          <w:rFonts w:hint="eastAsia" w:eastAsia="仿宋"/>
          <w:color w:val="auto"/>
          <w:kern w:val="0"/>
          <w:szCs w:val="22"/>
          <w:lang w:eastAsia="zh-CN"/>
        </w:rPr>
        <w:t>水土保持措施</w:t>
      </w:r>
      <w:r>
        <w:rPr>
          <w:rFonts w:eastAsia="仿宋"/>
          <w:color w:val="auto"/>
          <w:kern w:val="0"/>
          <w:szCs w:val="22"/>
        </w:rPr>
        <w:t>，有</w:t>
      </w:r>
      <w:r>
        <w:rPr>
          <w:rFonts w:hint="eastAsia" w:eastAsia="仿宋"/>
          <w:color w:val="auto"/>
          <w:kern w:val="0"/>
          <w:szCs w:val="22"/>
          <w:lang w:val="en-US" w:eastAsia="zh-CN"/>
        </w:rPr>
        <w:t>21</w:t>
      </w:r>
      <w:r>
        <w:rPr>
          <w:rFonts w:eastAsia="仿宋"/>
          <w:color w:val="auto"/>
          <w:kern w:val="0"/>
          <w:szCs w:val="22"/>
        </w:rPr>
        <w:t>人认为工程的建设带动了当地经济的发展，</w:t>
      </w:r>
      <w:r>
        <w:rPr>
          <w:rFonts w:hint="eastAsia" w:eastAsia="仿宋"/>
          <w:color w:val="auto"/>
          <w:kern w:val="0"/>
          <w:szCs w:val="22"/>
        </w:rPr>
        <w:t>有</w:t>
      </w:r>
      <w:r>
        <w:rPr>
          <w:rFonts w:hint="eastAsia" w:eastAsia="仿宋"/>
          <w:color w:val="auto"/>
          <w:kern w:val="0"/>
          <w:szCs w:val="22"/>
          <w:lang w:val="en-US" w:eastAsia="zh-CN"/>
        </w:rPr>
        <w:t>23</w:t>
      </w:r>
      <w:r>
        <w:rPr>
          <w:rFonts w:eastAsia="仿宋"/>
          <w:color w:val="auto"/>
          <w:kern w:val="0"/>
          <w:szCs w:val="22"/>
        </w:rPr>
        <w:t>人认为该工程的林草植被建设搞得好。</w:t>
      </w:r>
    </w:p>
    <w:p w14:paraId="31FCD011">
      <w:pPr>
        <w:widowControl/>
        <w:adjustRightInd w:val="0"/>
        <w:snapToGrid w:val="0"/>
        <w:ind w:firstLine="560"/>
        <w:rPr>
          <w:rFonts w:eastAsia="仿宋"/>
          <w:color w:val="auto"/>
          <w:kern w:val="0"/>
          <w:szCs w:val="22"/>
        </w:rPr>
        <w:sectPr>
          <w:headerReference r:id="rId24" w:type="default"/>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r>
        <w:rPr>
          <w:rFonts w:eastAsia="仿宋"/>
          <w:color w:val="auto"/>
          <w:kern w:val="0"/>
          <w:szCs w:val="22"/>
        </w:rPr>
        <w:t>调查数据结果显示，大多数人认为</w:t>
      </w:r>
      <w:r>
        <w:rPr>
          <w:rFonts w:hint="eastAsia" w:eastAsia="仿宋"/>
          <w:bCs/>
          <w:color w:val="auto"/>
          <w:szCs w:val="28"/>
          <w:lang w:eastAsia="zh-CN"/>
        </w:rPr>
        <w:t>福州市延安中学教育集团国福校区</w:t>
      </w:r>
      <w:r>
        <w:rPr>
          <w:rFonts w:eastAsia="仿宋"/>
          <w:color w:val="auto"/>
          <w:kern w:val="0"/>
          <w:szCs w:val="22"/>
        </w:rPr>
        <w:t>所采取的水土保持措施在恢复当地自然生态环境取得良好的效果，扰动区得到了有效治理。总体上看，被访问者项目的水土保持措施工程的评价较高。</w:t>
      </w:r>
    </w:p>
    <w:p w14:paraId="156A7261">
      <w:pPr>
        <w:pStyle w:val="2"/>
        <w:widowControl/>
        <w:adjustRightInd w:val="0"/>
        <w:snapToGrid w:val="0"/>
        <w:spacing w:line="480" w:lineRule="auto"/>
        <w:ind w:firstLine="723"/>
        <w:rPr>
          <w:rFonts w:eastAsia="仿宋"/>
          <w:color w:val="auto"/>
          <w:szCs w:val="22"/>
        </w:rPr>
      </w:pPr>
      <w:bookmarkStart w:id="100" w:name="_Toc14837"/>
      <w:bookmarkStart w:id="101" w:name="_Toc2702"/>
      <w:bookmarkStart w:id="102" w:name="_Toc21888"/>
      <w:r>
        <w:rPr>
          <w:rFonts w:eastAsia="仿宋"/>
          <w:color w:val="auto"/>
          <w:szCs w:val="22"/>
        </w:rPr>
        <w:t>6 水土保持管理</w:t>
      </w:r>
      <w:bookmarkEnd w:id="100"/>
      <w:bookmarkEnd w:id="101"/>
      <w:bookmarkEnd w:id="102"/>
    </w:p>
    <w:p w14:paraId="7221D2AF">
      <w:pPr>
        <w:pStyle w:val="3"/>
        <w:widowControl/>
        <w:rPr>
          <w:rFonts w:eastAsia="仿宋"/>
          <w:color w:val="auto"/>
          <w:kern w:val="0"/>
          <w:szCs w:val="30"/>
        </w:rPr>
      </w:pPr>
      <w:bookmarkStart w:id="103" w:name="_Toc1550"/>
      <w:bookmarkStart w:id="104" w:name="_Toc15368"/>
      <w:bookmarkStart w:id="105" w:name="_Toc23380"/>
      <w:r>
        <w:rPr>
          <w:rFonts w:eastAsia="仿宋"/>
          <w:color w:val="auto"/>
          <w:kern w:val="0"/>
          <w:szCs w:val="30"/>
        </w:rPr>
        <w:t>6.1组织领导</w:t>
      </w:r>
      <w:bookmarkEnd w:id="103"/>
      <w:bookmarkEnd w:id="104"/>
      <w:bookmarkEnd w:id="105"/>
    </w:p>
    <w:p w14:paraId="7A812ED5">
      <w:pPr>
        <w:widowControl/>
        <w:adjustRightInd w:val="0"/>
        <w:snapToGrid w:val="0"/>
        <w:ind w:firstLine="560"/>
        <w:rPr>
          <w:rFonts w:eastAsia="仿宋"/>
          <w:color w:val="auto"/>
          <w:kern w:val="0"/>
          <w:szCs w:val="22"/>
        </w:rPr>
      </w:pPr>
      <w:r>
        <w:rPr>
          <w:rFonts w:eastAsia="仿宋"/>
          <w:color w:val="auto"/>
          <w:szCs w:val="28"/>
        </w:rPr>
        <w:t>根据现场实地调查了解和建设单位、施工单位咨询，本项目在主体工程建设过程建设单位对项目的实施做了充分的组织和协调管理工作。项目主体设计过程已充分考虑了水土保持相关要求，在实施过程中得到了很好</w:t>
      </w:r>
      <w:r>
        <w:rPr>
          <w:rFonts w:hint="eastAsia" w:eastAsia="仿宋"/>
          <w:color w:val="auto"/>
          <w:szCs w:val="28"/>
          <w:lang w:eastAsia="zh-CN"/>
        </w:rPr>
        <w:t>地</w:t>
      </w:r>
      <w:r>
        <w:rPr>
          <w:rFonts w:eastAsia="仿宋"/>
          <w:color w:val="auto"/>
          <w:szCs w:val="28"/>
        </w:rPr>
        <w:t>落实，确保了项目的实施过程未造成较大的水土流失，对周边及河道未造成不利影响。</w:t>
      </w:r>
    </w:p>
    <w:p w14:paraId="2D25AE6C">
      <w:pPr>
        <w:pStyle w:val="3"/>
        <w:widowControl/>
        <w:rPr>
          <w:rFonts w:eastAsia="仿宋"/>
          <w:color w:val="auto"/>
          <w:kern w:val="0"/>
          <w:szCs w:val="30"/>
        </w:rPr>
      </w:pPr>
      <w:bookmarkStart w:id="106" w:name="_Toc2713"/>
      <w:bookmarkStart w:id="107" w:name="_Toc28793"/>
      <w:bookmarkStart w:id="108" w:name="_Toc15052"/>
      <w:r>
        <w:rPr>
          <w:rFonts w:eastAsia="仿宋"/>
          <w:color w:val="auto"/>
          <w:kern w:val="0"/>
          <w:szCs w:val="30"/>
        </w:rPr>
        <w:t>6.2规章制度</w:t>
      </w:r>
      <w:bookmarkEnd w:id="106"/>
      <w:bookmarkEnd w:id="107"/>
      <w:bookmarkEnd w:id="108"/>
    </w:p>
    <w:p w14:paraId="5D2AA47F">
      <w:pPr>
        <w:widowControl/>
        <w:adjustRightInd w:val="0"/>
        <w:snapToGrid w:val="0"/>
        <w:ind w:firstLine="560"/>
        <w:rPr>
          <w:rFonts w:eastAsia="仿宋"/>
          <w:color w:val="auto"/>
          <w:kern w:val="0"/>
          <w:szCs w:val="22"/>
        </w:rPr>
      </w:pPr>
      <w:r>
        <w:rPr>
          <w:rFonts w:eastAsia="仿宋"/>
          <w:color w:val="auto"/>
          <w:kern w:val="0"/>
          <w:szCs w:val="22"/>
        </w:rPr>
        <w:t>建设单位在工程建设过程中建立健全了各项规章制度，并将水土保持工作纳入主体工程的管理中。在建设过程中建立健全完善了水土保持工程质量管理体制，在施工中严格实行施工单位保证质量，监理单位负责质量监控，政府质量监督，各司其职，各负其责，将质量责任分层细化，贯穿于合同管理中。</w:t>
      </w:r>
    </w:p>
    <w:p w14:paraId="0F704BB3">
      <w:pPr>
        <w:widowControl/>
        <w:adjustRightInd w:val="0"/>
        <w:snapToGrid w:val="0"/>
        <w:ind w:firstLine="560"/>
        <w:rPr>
          <w:rFonts w:eastAsia="仿宋"/>
          <w:color w:val="auto"/>
          <w:kern w:val="0"/>
          <w:szCs w:val="22"/>
        </w:rPr>
      </w:pPr>
      <w:r>
        <w:rPr>
          <w:rFonts w:eastAsia="仿宋"/>
          <w:color w:val="auto"/>
          <w:kern w:val="0"/>
          <w:szCs w:val="22"/>
        </w:rPr>
        <w:t>为确保工程在施工中把水土流失降到最低，项目在施工准备期就制定了《</w:t>
      </w:r>
      <w:r>
        <w:rPr>
          <w:rFonts w:hint="eastAsia" w:eastAsia="仿宋"/>
          <w:color w:val="auto"/>
          <w:kern w:val="0"/>
          <w:szCs w:val="22"/>
        </w:rPr>
        <w:t>“</w:t>
      </w:r>
      <w:r>
        <w:rPr>
          <w:rFonts w:hint="eastAsia" w:eastAsia="仿宋"/>
          <w:bCs/>
          <w:color w:val="auto"/>
          <w:szCs w:val="28"/>
          <w:lang w:eastAsia="zh-CN"/>
        </w:rPr>
        <w:t>福州市延安中学教育集团国福校区</w:t>
      </w:r>
      <w:r>
        <w:rPr>
          <w:rFonts w:hint="eastAsia" w:eastAsia="仿宋"/>
          <w:color w:val="auto"/>
          <w:kern w:val="0"/>
          <w:szCs w:val="22"/>
        </w:rPr>
        <w:t>”</w:t>
      </w:r>
      <w:r>
        <w:rPr>
          <w:rFonts w:eastAsia="仿宋"/>
          <w:color w:val="auto"/>
          <w:kern w:val="0"/>
          <w:szCs w:val="22"/>
        </w:rPr>
        <w:t>水土保持制度》，并成立相关工作领导小组，将该制度印发到项目部、各施工组和监理人员。</w:t>
      </w:r>
    </w:p>
    <w:p w14:paraId="191D512F">
      <w:pPr>
        <w:widowControl/>
        <w:adjustRightInd w:val="0"/>
        <w:snapToGrid w:val="0"/>
        <w:ind w:firstLine="560"/>
        <w:rPr>
          <w:rFonts w:eastAsia="仿宋"/>
          <w:color w:val="auto"/>
          <w:kern w:val="0"/>
          <w:szCs w:val="22"/>
        </w:rPr>
      </w:pPr>
      <w:r>
        <w:rPr>
          <w:rFonts w:eastAsia="仿宋"/>
          <w:color w:val="auto"/>
          <w:kern w:val="0"/>
          <w:szCs w:val="22"/>
        </w:rPr>
        <w:t>《制度》明确规定：</w:t>
      </w:r>
    </w:p>
    <w:p w14:paraId="7FBA0350">
      <w:pPr>
        <w:widowControl/>
        <w:adjustRightInd w:val="0"/>
        <w:snapToGrid w:val="0"/>
        <w:ind w:firstLine="560"/>
        <w:rPr>
          <w:rFonts w:eastAsia="仿宋"/>
          <w:color w:val="auto"/>
          <w:kern w:val="0"/>
          <w:szCs w:val="22"/>
        </w:rPr>
      </w:pPr>
      <w:r>
        <w:rPr>
          <w:rFonts w:eastAsia="仿宋"/>
          <w:color w:val="auto"/>
          <w:kern w:val="0"/>
          <w:szCs w:val="22"/>
        </w:rPr>
        <w:t>①严禁越界扰动地表和毁坏周边植被，严禁乱弃、乱倒土石方和建筑、生活垃圾。</w:t>
      </w:r>
    </w:p>
    <w:p w14:paraId="7BB1B017">
      <w:pPr>
        <w:widowControl/>
        <w:adjustRightInd w:val="0"/>
        <w:snapToGrid w:val="0"/>
        <w:ind w:firstLine="560"/>
        <w:rPr>
          <w:rFonts w:eastAsia="仿宋"/>
          <w:color w:val="auto"/>
          <w:kern w:val="0"/>
          <w:szCs w:val="22"/>
        </w:rPr>
      </w:pPr>
      <w:r>
        <w:rPr>
          <w:rFonts w:eastAsia="仿宋"/>
          <w:color w:val="auto"/>
          <w:kern w:val="0"/>
          <w:szCs w:val="22"/>
        </w:rPr>
        <w:t>②施工单位应建立健全质量管理体系，严格按水土保持设施设计图纸施工，按合同的质量条款实施质量管理，保证工程质量。</w:t>
      </w:r>
    </w:p>
    <w:p w14:paraId="13E2B726">
      <w:pPr>
        <w:widowControl/>
        <w:adjustRightInd w:val="0"/>
        <w:snapToGrid w:val="0"/>
        <w:ind w:firstLine="560"/>
        <w:rPr>
          <w:rFonts w:eastAsia="仿宋"/>
          <w:color w:val="auto"/>
          <w:kern w:val="0"/>
          <w:szCs w:val="22"/>
        </w:rPr>
      </w:pPr>
      <w:r>
        <w:rPr>
          <w:rFonts w:eastAsia="仿宋"/>
          <w:color w:val="auto"/>
          <w:kern w:val="0"/>
          <w:szCs w:val="22"/>
        </w:rPr>
        <w:t>③本工程水土保持设施所需材料，由施工单位自行采购、运输、保管，沙、石料必须在合法料场购买，杜绝不合格材料的使用。</w:t>
      </w:r>
    </w:p>
    <w:p w14:paraId="4832D81C">
      <w:pPr>
        <w:widowControl/>
        <w:adjustRightInd w:val="0"/>
        <w:snapToGrid w:val="0"/>
        <w:ind w:firstLine="560"/>
        <w:rPr>
          <w:rFonts w:eastAsia="仿宋"/>
          <w:color w:val="auto"/>
          <w:kern w:val="0"/>
          <w:szCs w:val="22"/>
        </w:rPr>
      </w:pPr>
      <w:r>
        <w:rPr>
          <w:rFonts w:eastAsia="仿宋"/>
          <w:color w:val="auto"/>
          <w:kern w:val="0"/>
          <w:szCs w:val="22"/>
        </w:rPr>
        <w:t>④施工单位应明确安全管理责任，建立健全安全管理机构组织，避免安全事故的发生。</w:t>
      </w:r>
    </w:p>
    <w:p w14:paraId="30219D13">
      <w:pPr>
        <w:widowControl/>
        <w:adjustRightInd w:val="0"/>
        <w:snapToGrid w:val="0"/>
        <w:ind w:firstLine="560"/>
        <w:rPr>
          <w:rFonts w:eastAsia="仿宋"/>
          <w:color w:val="auto"/>
          <w:kern w:val="0"/>
        </w:rPr>
      </w:pPr>
      <w:r>
        <w:rPr>
          <w:rFonts w:eastAsia="仿宋"/>
          <w:color w:val="auto"/>
          <w:kern w:val="0"/>
          <w:szCs w:val="22"/>
        </w:rPr>
        <w:t>⑤在施工中，若发现水土保持设施单位工程有缺陷，施工队应及时补救返工或者修复缺陷，直至合格投入使用。若发生水土流失或者防洪事件，应及时采取有效措施加以制止，所造成的损失由造成者负责赔偿，并按法律追究责任。</w:t>
      </w:r>
    </w:p>
    <w:p w14:paraId="1FB944B9">
      <w:pPr>
        <w:pStyle w:val="3"/>
        <w:widowControl/>
        <w:rPr>
          <w:rFonts w:eastAsia="仿宋"/>
          <w:color w:val="auto"/>
          <w:kern w:val="0"/>
          <w:szCs w:val="30"/>
        </w:rPr>
      </w:pPr>
      <w:bookmarkStart w:id="109" w:name="_Toc2969"/>
      <w:bookmarkStart w:id="110" w:name="_Toc5404"/>
      <w:bookmarkStart w:id="111" w:name="_Toc21730"/>
      <w:r>
        <w:rPr>
          <w:rFonts w:eastAsia="仿宋"/>
          <w:color w:val="auto"/>
          <w:kern w:val="0"/>
          <w:szCs w:val="30"/>
        </w:rPr>
        <w:t>6.3建设</w:t>
      </w:r>
      <w:bookmarkEnd w:id="109"/>
      <w:bookmarkEnd w:id="110"/>
      <w:r>
        <w:rPr>
          <w:rFonts w:eastAsia="仿宋"/>
          <w:color w:val="auto"/>
          <w:kern w:val="0"/>
          <w:szCs w:val="30"/>
        </w:rPr>
        <w:t>管理</w:t>
      </w:r>
      <w:bookmarkEnd w:id="111"/>
    </w:p>
    <w:p w14:paraId="7D06F56B">
      <w:pPr>
        <w:pStyle w:val="4"/>
        <w:widowControl/>
        <w:rPr>
          <w:rFonts w:eastAsia="仿宋"/>
          <w:color w:val="auto"/>
          <w:kern w:val="0"/>
        </w:rPr>
      </w:pPr>
      <w:bookmarkStart w:id="112" w:name="_Toc32577"/>
      <w:bookmarkStart w:id="113" w:name="_Toc6010"/>
      <w:r>
        <w:rPr>
          <w:rFonts w:eastAsia="仿宋"/>
          <w:color w:val="auto"/>
          <w:kern w:val="0"/>
        </w:rPr>
        <w:t>6.3.1工程招标投标过程</w:t>
      </w:r>
      <w:bookmarkEnd w:id="112"/>
      <w:bookmarkEnd w:id="113"/>
    </w:p>
    <w:p w14:paraId="62F1FB74">
      <w:pPr>
        <w:widowControl/>
        <w:adjustRightInd w:val="0"/>
        <w:snapToGrid w:val="0"/>
        <w:ind w:firstLine="560"/>
        <w:rPr>
          <w:rFonts w:eastAsia="仿宋"/>
          <w:color w:val="auto"/>
          <w:kern w:val="0"/>
          <w:szCs w:val="22"/>
        </w:rPr>
      </w:pPr>
      <w:r>
        <w:rPr>
          <w:rFonts w:eastAsia="仿宋"/>
          <w:color w:val="auto"/>
          <w:kern w:val="0"/>
          <w:szCs w:val="22"/>
        </w:rPr>
        <w:t>主体工程水土保持措施和植物措施的施工、材料采购及供应、施工单位招标纳入了主体工程管理程序中，实行了“项目法人对国家负责，监理单位控制，承包商保证，政府监督”的质量保证体系。有关施工单位通过招标、投标承担水土保持工程的施工，施工单位</w:t>
      </w:r>
      <w:r>
        <w:rPr>
          <w:rFonts w:hint="eastAsia" w:eastAsia="仿宋"/>
          <w:color w:val="auto"/>
          <w:kern w:val="0"/>
          <w:szCs w:val="22"/>
          <w:lang w:eastAsia="zh-CN"/>
        </w:rPr>
        <w:t>都</w:t>
      </w:r>
      <w:r>
        <w:rPr>
          <w:rFonts w:eastAsia="仿宋"/>
          <w:color w:val="auto"/>
          <w:kern w:val="0"/>
          <w:szCs w:val="22"/>
        </w:rPr>
        <w:t>具有施工资质，</w:t>
      </w:r>
      <w:r>
        <w:rPr>
          <w:rFonts w:hint="eastAsia" w:eastAsia="仿宋"/>
          <w:color w:val="auto"/>
          <w:kern w:val="0"/>
          <w:szCs w:val="22"/>
          <w:lang w:eastAsia="zh-CN"/>
        </w:rPr>
        <w:t>具有</w:t>
      </w:r>
      <w:r>
        <w:rPr>
          <w:rFonts w:eastAsia="仿宋"/>
          <w:color w:val="auto"/>
          <w:kern w:val="0"/>
          <w:szCs w:val="22"/>
        </w:rPr>
        <w:t>一定技术与人才，自身的质量保证体系较完善。工程监理单位也是具有相当工程建设监理经验和业绩，能独立承担监理业务的专业机构。</w:t>
      </w:r>
    </w:p>
    <w:p w14:paraId="22176FC7">
      <w:pPr>
        <w:pStyle w:val="4"/>
        <w:widowControl/>
        <w:rPr>
          <w:rFonts w:eastAsia="仿宋"/>
          <w:color w:val="auto"/>
          <w:kern w:val="0"/>
        </w:rPr>
      </w:pPr>
      <w:bookmarkStart w:id="114" w:name="_Toc12198"/>
      <w:bookmarkStart w:id="115" w:name="_Toc5921"/>
      <w:r>
        <w:rPr>
          <w:rFonts w:eastAsia="仿宋"/>
          <w:color w:val="auto"/>
          <w:kern w:val="0"/>
        </w:rPr>
        <w:t>6.3.2合同及执行情况</w:t>
      </w:r>
      <w:bookmarkEnd w:id="114"/>
      <w:bookmarkEnd w:id="115"/>
    </w:p>
    <w:p w14:paraId="47BE9D5A">
      <w:pPr>
        <w:widowControl/>
        <w:adjustRightInd w:val="0"/>
        <w:snapToGrid w:val="0"/>
        <w:spacing w:line="348" w:lineRule="auto"/>
        <w:ind w:firstLine="560"/>
        <w:rPr>
          <w:rFonts w:eastAsia="仿宋"/>
          <w:color w:val="auto"/>
          <w:kern w:val="0"/>
          <w:szCs w:val="22"/>
        </w:rPr>
      </w:pPr>
      <w:r>
        <w:rPr>
          <w:rFonts w:eastAsia="仿宋"/>
          <w:color w:val="auto"/>
          <w:kern w:val="0"/>
          <w:szCs w:val="22"/>
        </w:rPr>
        <w:t>工程措施施工合同：水土保持工程措施主要是</w:t>
      </w:r>
      <w:r>
        <w:rPr>
          <w:rFonts w:hint="eastAsia" w:eastAsia="仿宋"/>
          <w:color w:val="auto"/>
          <w:kern w:val="0"/>
          <w:szCs w:val="22"/>
        </w:rPr>
        <w:t>雨水管网、植草砖</w:t>
      </w:r>
      <w:r>
        <w:rPr>
          <w:rFonts w:hint="eastAsia" w:eastAsia="仿宋"/>
          <w:color w:val="auto"/>
          <w:kern w:val="0"/>
          <w:szCs w:val="22"/>
          <w:lang w:eastAsia="zh-CN"/>
        </w:rPr>
        <w:t>、</w:t>
      </w:r>
      <w:r>
        <w:rPr>
          <w:rFonts w:eastAsia="仿宋"/>
          <w:color w:val="auto"/>
          <w:szCs w:val="28"/>
        </w:rPr>
        <w:t>土地整治、</w:t>
      </w:r>
      <w:r>
        <w:rPr>
          <w:rFonts w:hint="eastAsia" w:eastAsia="仿宋"/>
          <w:color w:val="auto"/>
          <w:szCs w:val="28"/>
          <w:lang w:val="en-US" w:eastAsia="zh-CN"/>
        </w:rPr>
        <w:t>回填</w:t>
      </w:r>
      <w:r>
        <w:rPr>
          <w:rFonts w:hint="eastAsia" w:eastAsia="仿宋"/>
          <w:color w:val="auto"/>
          <w:szCs w:val="28"/>
        </w:rPr>
        <w:t>覆土、</w:t>
      </w:r>
      <w:r>
        <w:rPr>
          <w:rFonts w:hint="eastAsia" w:eastAsia="仿宋"/>
          <w:color w:val="auto"/>
          <w:szCs w:val="28"/>
          <w:lang w:val="en-US" w:eastAsia="zh-CN"/>
        </w:rPr>
        <w:t>基坑截水沟、基坑集水沟、洗车池（含三级沉淀池）、排水沟、</w:t>
      </w:r>
      <w:r>
        <w:rPr>
          <w:rFonts w:hint="eastAsia" w:eastAsia="仿宋"/>
          <w:color w:val="auto"/>
          <w:szCs w:val="28"/>
        </w:rPr>
        <w:t>沉沙池、</w:t>
      </w:r>
      <w:r>
        <w:rPr>
          <w:rFonts w:hint="eastAsia" w:eastAsia="仿宋"/>
          <w:color w:val="auto"/>
          <w:szCs w:val="28"/>
          <w:lang w:val="en-US" w:eastAsia="zh-CN"/>
        </w:rPr>
        <w:t>密目网苫盖、</w:t>
      </w:r>
      <w:r>
        <w:rPr>
          <w:rFonts w:eastAsia="仿宋"/>
          <w:color w:val="auto"/>
          <w:szCs w:val="28"/>
        </w:rPr>
        <w:t>景观绿化</w:t>
      </w:r>
      <w:r>
        <w:rPr>
          <w:rFonts w:eastAsia="仿宋"/>
          <w:color w:val="auto"/>
          <w:kern w:val="0"/>
          <w:szCs w:val="22"/>
        </w:rPr>
        <w:t>等，与主体工程同步进行，由施工单位</w:t>
      </w:r>
      <w:r>
        <w:rPr>
          <w:rFonts w:hint="eastAsia" w:eastAsia="仿宋"/>
          <w:color w:val="auto"/>
          <w:kern w:val="0"/>
          <w:szCs w:val="22"/>
          <w:lang w:eastAsia="zh-CN"/>
        </w:rPr>
        <w:t>福建省二建建设集团有限公司</w:t>
      </w:r>
      <w:r>
        <w:rPr>
          <w:rFonts w:eastAsia="仿宋"/>
          <w:color w:val="auto"/>
          <w:kern w:val="0"/>
          <w:szCs w:val="22"/>
        </w:rPr>
        <w:t>承建。</w:t>
      </w:r>
    </w:p>
    <w:p w14:paraId="5E976CEA">
      <w:pPr>
        <w:widowControl/>
        <w:adjustRightInd w:val="0"/>
        <w:snapToGrid w:val="0"/>
        <w:spacing w:line="348" w:lineRule="auto"/>
        <w:ind w:firstLine="560"/>
        <w:rPr>
          <w:rFonts w:eastAsia="仿宋"/>
          <w:color w:val="auto"/>
          <w:kern w:val="0"/>
          <w:szCs w:val="22"/>
        </w:rPr>
      </w:pPr>
      <w:r>
        <w:rPr>
          <w:rFonts w:eastAsia="仿宋"/>
          <w:color w:val="auto"/>
          <w:kern w:val="0"/>
          <w:szCs w:val="22"/>
        </w:rPr>
        <w:t>工程建设监理</w:t>
      </w:r>
      <w:r>
        <w:rPr>
          <w:rFonts w:hint="eastAsia" w:eastAsia="仿宋"/>
          <w:color w:val="auto"/>
          <w:kern w:val="0"/>
          <w:szCs w:val="22"/>
          <w:lang w:val="en-US" w:eastAsia="zh-CN"/>
        </w:rPr>
        <w:t>由</w:t>
      </w:r>
      <w:r>
        <w:rPr>
          <w:rFonts w:hint="eastAsia" w:eastAsia="仿宋"/>
          <w:color w:val="auto"/>
          <w:kern w:val="0"/>
          <w:szCs w:val="22"/>
          <w:lang w:eastAsia="zh-CN"/>
        </w:rPr>
        <w:t>福州市建设工程管理有限公司</w:t>
      </w:r>
      <w:r>
        <w:rPr>
          <w:rFonts w:eastAsia="仿宋"/>
          <w:color w:val="auto"/>
          <w:kern w:val="0"/>
          <w:szCs w:val="22"/>
        </w:rPr>
        <w:t>进行监理。</w:t>
      </w:r>
    </w:p>
    <w:p w14:paraId="391944BE">
      <w:pPr>
        <w:widowControl/>
        <w:adjustRightInd w:val="0"/>
        <w:snapToGrid w:val="0"/>
        <w:spacing w:line="348" w:lineRule="auto"/>
        <w:ind w:firstLine="560"/>
        <w:rPr>
          <w:rFonts w:eastAsia="仿宋"/>
          <w:color w:val="auto"/>
          <w:kern w:val="0"/>
          <w:szCs w:val="22"/>
        </w:rPr>
      </w:pPr>
      <w:r>
        <w:rPr>
          <w:rFonts w:eastAsia="仿宋"/>
          <w:color w:val="auto"/>
          <w:kern w:val="0"/>
          <w:szCs w:val="22"/>
        </w:rPr>
        <w:t>工程项目管理的过程实际上就是执行合同的过程，有效的合同管理是确保建设目标（质量、投资、工期）的主要手段。因此，从“</w:t>
      </w:r>
      <w:r>
        <w:rPr>
          <w:rFonts w:hint="eastAsia" w:eastAsia="仿宋"/>
          <w:bCs/>
          <w:color w:val="auto"/>
          <w:szCs w:val="28"/>
          <w:lang w:eastAsia="zh-CN"/>
        </w:rPr>
        <w:t>福州市延安中学教育集团国福校区</w:t>
      </w:r>
      <w:r>
        <w:rPr>
          <w:rFonts w:hint="eastAsia" w:eastAsia="仿宋"/>
          <w:color w:val="auto"/>
          <w:kern w:val="0"/>
          <w:szCs w:val="22"/>
          <w:lang w:eastAsia="zh-CN"/>
        </w:rPr>
        <w:t>”</w:t>
      </w:r>
      <w:r>
        <w:rPr>
          <w:rFonts w:eastAsia="仿宋"/>
          <w:color w:val="auto"/>
          <w:kern w:val="0"/>
          <w:szCs w:val="22"/>
        </w:rPr>
        <w:t>实施开始，建设单位等相关部门采取了一系列积极措施，确保该工程水土保持项目的正常实施。主要技术保障措施如下：</w:t>
      </w:r>
    </w:p>
    <w:p w14:paraId="5E045655">
      <w:pPr>
        <w:widowControl/>
        <w:adjustRightInd w:val="0"/>
        <w:snapToGrid w:val="0"/>
        <w:spacing w:line="348" w:lineRule="auto"/>
        <w:ind w:firstLine="560"/>
        <w:rPr>
          <w:rFonts w:eastAsia="仿宋"/>
          <w:color w:val="auto"/>
          <w:kern w:val="0"/>
          <w:szCs w:val="22"/>
        </w:rPr>
      </w:pPr>
      <w:r>
        <w:rPr>
          <w:rFonts w:eastAsia="仿宋"/>
          <w:color w:val="auto"/>
          <w:kern w:val="0"/>
          <w:szCs w:val="22"/>
        </w:rPr>
        <w:t>（1）严格按照合同约定规范管理各施工单位，要求各施工单位必须按照合同约定建立完善的施工技术保障体系、施工管理体系、安全保障体系、现场文明施工管理体系。做好施工现场的水土保持工作，避免因施工造成新的水土流失。</w:t>
      </w:r>
    </w:p>
    <w:p w14:paraId="7440525B">
      <w:pPr>
        <w:widowControl/>
        <w:adjustRightInd w:val="0"/>
        <w:snapToGrid w:val="0"/>
        <w:spacing w:line="348" w:lineRule="auto"/>
        <w:ind w:firstLine="560"/>
        <w:rPr>
          <w:rFonts w:eastAsia="仿宋"/>
          <w:color w:val="auto"/>
          <w:kern w:val="0"/>
          <w:szCs w:val="22"/>
        </w:rPr>
      </w:pPr>
      <w:r>
        <w:rPr>
          <w:rFonts w:eastAsia="仿宋"/>
          <w:color w:val="auto"/>
          <w:kern w:val="0"/>
          <w:szCs w:val="22"/>
        </w:rPr>
        <w:t>（2）针对水土保持工作的特性，进行详细技术交底，使各施工单位更好</w:t>
      </w:r>
      <w:r>
        <w:rPr>
          <w:rFonts w:hint="eastAsia" w:eastAsia="仿宋"/>
          <w:color w:val="auto"/>
          <w:kern w:val="0"/>
          <w:szCs w:val="22"/>
          <w:lang w:eastAsia="zh-CN"/>
        </w:rPr>
        <w:t>地</w:t>
      </w:r>
      <w:r>
        <w:rPr>
          <w:rFonts w:eastAsia="仿宋"/>
          <w:color w:val="auto"/>
          <w:kern w:val="0"/>
          <w:szCs w:val="22"/>
        </w:rPr>
        <w:t>掌握和熟悉水土保持技术规范标准，满足现场施工需要。</w:t>
      </w:r>
    </w:p>
    <w:p w14:paraId="6D8CC683">
      <w:pPr>
        <w:widowControl/>
        <w:adjustRightInd w:val="0"/>
        <w:snapToGrid w:val="0"/>
        <w:spacing w:line="348" w:lineRule="auto"/>
        <w:ind w:firstLine="560"/>
        <w:rPr>
          <w:rFonts w:eastAsia="仿宋"/>
          <w:color w:val="auto"/>
          <w:kern w:val="0"/>
          <w:szCs w:val="22"/>
        </w:rPr>
      </w:pPr>
      <w:r>
        <w:rPr>
          <w:rFonts w:eastAsia="仿宋"/>
          <w:color w:val="auto"/>
          <w:kern w:val="0"/>
          <w:szCs w:val="22"/>
        </w:rPr>
        <w:t>（3）严格按照水土保持设计图纸和技术要求进行土建项目施工，所有完工项目必须按照有关技术规范及质量评定标准进行验收。</w:t>
      </w:r>
    </w:p>
    <w:p w14:paraId="776ABD32">
      <w:pPr>
        <w:widowControl/>
        <w:adjustRightInd w:val="0"/>
        <w:snapToGrid w:val="0"/>
        <w:spacing w:line="348" w:lineRule="auto"/>
        <w:ind w:firstLine="560"/>
        <w:rPr>
          <w:rFonts w:eastAsia="仿宋"/>
          <w:color w:val="auto"/>
          <w:kern w:val="0"/>
          <w:szCs w:val="22"/>
        </w:rPr>
      </w:pPr>
      <w:r>
        <w:rPr>
          <w:rFonts w:eastAsia="仿宋"/>
          <w:color w:val="auto"/>
          <w:kern w:val="0"/>
          <w:szCs w:val="22"/>
        </w:rPr>
        <w:t>（4）要求各施工单位加强管理，牢固树立现场各级管理人员和施工人员的工程施工质量意识。</w:t>
      </w:r>
    </w:p>
    <w:p w14:paraId="7F9BA422">
      <w:pPr>
        <w:widowControl/>
        <w:adjustRightInd w:val="0"/>
        <w:snapToGrid w:val="0"/>
        <w:spacing w:line="348" w:lineRule="auto"/>
        <w:ind w:firstLine="560"/>
        <w:rPr>
          <w:rFonts w:eastAsia="仿宋"/>
          <w:color w:val="auto"/>
          <w:kern w:val="0"/>
          <w:szCs w:val="22"/>
        </w:rPr>
      </w:pPr>
      <w:r>
        <w:rPr>
          <w:rFonts w:eastAsia="仿宋"/>
          <w:color w:val="auto"/>
          <w:kern w:val="0"/>
          <w:szCs w:val="22"/>
        </w:rPr>
        <w:t>（5）监督监理单位按照相关监理规范的要求，加大协调、监督管理力度，扎实做好施工现场监理工作，对工程部门及关键工序实行旁站跟踪监控。</w:t>
      </w:r>
    </w:p>
    <w:p w14:paraId="6603D492">
      <w:pPr>
        <w:widowControl/>
        <w:adjustRightInd w:val="0"/>
        <w:snapToGrid w:val="0"/>
        <w:spacing w:line="348" w:lineRule="auto"/>
        <w:ind w:firstLine="560"/>
        <w:rPr>
          <w:rFonts w:eastAsia="仿宋"/>
          <w:color w:val="auto"/>
          <w:kern w:val="0"/>
          <w:szCs w:val="22"/>
        </w:rPr>
      </w:pPr>
      <w:r>
        <w:rPr>
          <w:rFonts w:eastAsia="仿宋"/>
          <w:color w:val="auto"/>
          <w:kern w:val="0"/>
          <w:szCs w:val="22"/>
        </w:rPr>
        <w:t>采取以上技术保证措施后，各分项工程合同中的有关水土保持工作内容得以顺利执行，合同工程措施、植物措施及临时措施基本按合同约定实施。</w:t>
      </w:r>
    </w:p>
    <w:p w14:paraId="0C25AE47">
      <w:pPr>
        <w:pStyle w:val="3"/>
        <w:widowControl/>
        <w:rPr>
          <w:rFonts w:eastAsia="仿宋"/>
          <w:color w:val="auto"/>
          <w:kern w:val="0"/>
          <w:szCs w:val="30"/>
        </w:rPr>
      </w:pPr>
      <w:bookmarkStart w:id="116" w:name="_Toc4956"/>
      <w:bookmarkStart w:id="117" w:name="_Toc28968"/>
      <w:bookmarkStart w:id="118" w:name="_Toc30049"/>
      <w:r>
        <w:rPr>
          <w:rFonts w:eastAsia="仿宋"/>
          <w:color w:val="auto"/>
          <w:kern w:val="0"/>
          <w:szCs w:val="30"/>
        </w:rPr>
        <w:t>6.4水土保持监测</w:t>
      </w:r>
      <w:bookmarkEnd w:id="116"/>
      <w:bookmarkEnd w:id="117"/>
      <w:bookmarkEnd w:id="118"/>
    </w:p>
    <w:p w14:paraId="12B32388">
      <w:pPr>
        <w:widowControl/>
        <w:adjustRightInd w:val="0"/>
        <w:snapToGrid w:val="0"/>
        <w:ind w:firstLine="560"/>
        <w:rPr>
          <w:rFonts w:eastAsia="仿宋"/>
          <w:color w:val="auto"/>
          <w:kern w:val="0"/>
          <w:szCs w:val="22"/>
        </w:rPr>
      </w:pPr>
      <w:r>
        <w:rPr>
          <w:rFonts w:eastAsia="仿宋"/>
          <w:color w:val="auto"/>
          <w:kern w:val="0"/>
          <w:szCs w:val="22"/>
        </w:rPr>
        <w:t>20</w:t>
      </w:r>
      <w:r>
        <w:rPr>
          <w:rFonts w:hint="eastAsia" w:eastAsia="仿宋"/>
          <w:color w:val="auto"/>
          <w:kern w:val="0"/>
          <w:szCs w:val="22"/>
        </w:rPr>
        <w:t>2</w:t>
      </w:r>
      <w:r>
        <w:rPr>
          <w:rFonts w:hint="eastAsia" w:eastAsia="仿宋"/>
          <w:color w:val="auto"/>
          <w:kern w:val="0"/>
          <w:szCs w:val="22"/>
          <w:lang w:val="en-US" w:eastAsia="zh-CN"/>
        </w:rPr>
        <w:t>3</w:t>
      </w:r>
      <w:r>
        <w:rPr>
          <w:rFonts w:eastAsia="仿宋"/>
          <w:color w:val="auto"/>
          <w:kern w:val="0"/>
          <w:szCs w:val="22"/>
        </w:rPr>
        <w:t>年</w:t>
      </w:r>
      <w:r>
        <w:rPr>
          <w:rFonts w:hint="eastAsia" w:eastAsia="仿宋"/>
          <w:color w:val="auto"/>
          <w:kern w:val="0"/>
          <w:szCs w:val="22"/>
          <w:lang w:val="en-US" w:eastAsia="zh-CN"/>
        </w:rPr>
        <w:t>10</w:t>
      </w:r>
      <w:r>
        <w:rPr>
          <w:rFonts w:eastAsia="仿宋"/>
          <w:color w:val="auto"/>
          <w:kern w:val="0"/>
          <w:szCs w:val="22"/>
        </w:rPr>
        <w:t>月，</w:t>
      </w:r>
      <w:r>
        <w:rPr>
          <w:rFonts w:hint="eastAsia" w:eastAsia="仿宋"/>
          <w:color w:val="auto"/>
          <w:kern w:val="0"/>
          <w:szCs w:val="22"/>
          <w:lang w:val="en-US" w:eastAsia="zh-CN"/>
        </w:rPr>
        <w:t>代建</w:t>
      </w:r>
      <w:r>
        <w:rPr>
          <w:rFonts w:eastAsia="仿宋"/>
          <w:color w:val="auto"/>
          <w:kern w:val="0"/>
          <w:szCs w:val="22"/>
        </w:rPr>
        <w:t>单位委托</w:t>
      </w:r>
      <w:r>
        <w:rPr>
          <w:rFonts w:hint="eastAsia" w:eastAsia="仿宋"/>
          <w:color w:val="auto"/>
          <w:kern w:val="0"/>
          <w:szCs w:val="22"/>
          <w:lang w:eastAsia="zh-CN"/>
        </w:rPr>
        <w:t>福州市勘测院有限公司</w:t>
      </w:r>
      <w:r>
        <w:rPr>
          <w:rFonts w:eastAsia="仿宋"/>
          <w:color w:val="auto"/>
          <w:kern w:val="0"/>
          <w:szCs w:val="22"/>
        </w:rPr>
        <w:t>开展水土保持监测工作。</w:t>
      </w:r>
      <w:r>
        <w:rPr>
          <w:rFonts w:hint="eastAsia" w:eastAsia="仿宋"/>
          <w:color w:val="auto"/>
          <w:kern w:val="0"/>
          <w:szCs w:val="22"/>
          <w:lang w:val="en-US" w:eastAsia="zh-CN"/>
        </w:rPr>
        <w:t>福州市勘测院有限公司</w:t>
      </w:r>
      <w:r>
        <w:rPr>
          <w:rFonts w:eastAsia="仿宋"/>
          <w:color w:val="auto"/>
          <w:kern w:val="0"/>
          <w:szCs w:val="22"/>
        </w:rPr>
        <w:t>成立监测组进场监测，在查询大量施工、监理内业资料和现场监测下，于202</w:t>
      </w:r>
      <w:r>
        <w:rPr>
          <w:rFonts w:hint="eastAsia" w:eastAsia="仿宋"/>
          <w:color w:val="auto"/>
          <w:kern w:val="0"/>
          <w:szCs w:val="22"/>
          <w:lang w:val="en-US" w:eastAsia="zh-CN"/>
        </w:rPr>
        <w:t>5</w:t>
      </w:r>
      <w:r>
        <w:rPr>
          <w:rFonts w:eastAsia="仿宋"/>
          <w:color w:val="auto"/>
          <w:kern w:val="0"/>
          <w:szCs w:val="22"/>
        </w:rPr>
        <w:t>年</w:t>
      </w:r>
      <w:r>
        <w:rPr>
          <w:rFonts w:hint="eastAsia" w:eastAsia="仿宋"/>
          <w:color w:val="auto"/>
          <w:kern w:val="0"/>
          <w:szCs w:val="22"/>
          <w:lang w:val="en-US" w:eastAsia="zh-CN"/>
        </w:rPr>
        <w:t>6</w:t>
      </w:r>
      <w:r>
        <w:rPr>
          <w:rFonts w:eastAsia="仿宋"/>
          <w:color w:val="auto"/>
          <w:kern w:val="0"/>
          <w:szCs w:val="22"/>
        </w:rPr>
        <w:t>月提交了水土保持</w:t>
      </w:r>
      <w:r>
        <w:rPr>
          <w:rFonts w:hint="eastAsia" w:eastAsia="仿宋"/>
          <w:color w:val="auto"/>
          <w:kern w:val="0"/>
          <w:szCs w:val="22"/>
        </w:rPr>
        <w:t>监测总结</w:t>
      </w:r>
      <w:r>
        <w:rPr>
          <w:rFonts w:eastAsia="仿宋"/>
          <w:color w:val="auto"/>
          <w:kern w:val="0"/>
          <w:szCs w:val="22"/>
        </w:rPr>
        <w:t>报告。</w:t>
      </w:r>
    </w:p>
    <w:p w14:paraId="5E7050C8">
      <w:pPr>
        <w:pStyle w:val="3"/>
        <w:keepNext w:val="0"/>
        <w:keepLines w:val="0"/>
        <w:pageBreakBefore w:val="0"/>
        <w:widowControl w:val="0"/>
        <w:kinsoku/>
        <w:wordWrap/>
        <w:overflowPunct/>
        <w:topLinePunct w:val="0"/>
        <w:autoSpaceDE/>
        <w:autoSpaceDN/>
        <w:bidi w:val="0"/>
        <w:adjustRightInd w:val="0"/>
        <w:snapToGrid w:val="0"/>
        <w:textAlignment w:val="auto"/>
        <w:rPr>
          <w:rFonts w:eastAsia="仿宋"/>
          <w:color w:val="auto"/>
          <w:kern w:val="0"/>
          <w:szCs w:val="30"/>
        </w:rPr>
      </w:pPr>
      <w:bookmarkStart w:id="119" w:name="_Toc20653"/>
      <w:r>
        <w:rPr>
          <w:rFonts w:eastAsia="仿宋"/>
          <w:color w:val="auto"/>
          <w:kern w:val="0"/>
          <w:szCs w:val="30"/>
        </w:rPr>
        <w:t>6.5 水土保持监理</w:t>
      </w:r>
      <w:bookmarkEnd w:id="119"/>
    </w:p>
    <w:p w14:paraId="492CFDB7">
      <w:pPr>
        <w:keepNext w:val="0"/>
        <w:keepLines w:val="0"/>
        <w:pageBreakBefore w:val="0"/>
        <w:widowControl w:val="0"/>
        <w:kinsoku/>
        <w:wordWrap/>
        <w:overflowPunct/>
        <w:topLinePunct w:val="0"/>
        <w:autoSpaceDE/>
        <w:autoSpaceDN/>
        <w:bidi w:val="0"/>
        <w:adjustRightInd w:val="0"/>
        <w:snapToGrid w:val="0"/>
        <w:ind w:firstLine="560"/>
        <w:textAlignment w:val="auto"/>
        <w:rPr>
          <w:rFonts w:eastAsia="仿宋"/>
          <w:color w:val="auto"/>
          <w:kern w:val="0"/>
          <w:szCs w:val="22"/>
        </w:rPr>
      </w:pPr>
      <w:r>
        <w:rPr>
          <w:rFonts w:hint="eastAsia" w:eastAsia="仿宋"/>
          <w:color w:val="auto"/>
          <w:kern w:val="0"/>
          <w:szCs w:val="22"/>
        </w:rPr>
        <w:t>水土保持监理并入主体监理，由福州市建设工程管理有限公司</w:t>
      </w:r>
      <w:r>
        <w:rPr>
          <w:rFonts w:eastAsia="仿宋"/>
          <w:color w:val="auto"/>
          <w:kern w:val="0"/>
          <w:szCs w:val="22"/>
        </w:rPr>
        <w:t>进行水土保持监理，确保工程质量。</w:t>
      </w:r>
    </w:p>
    <w:p w14:paraId="1BA47A41">
      <w:pPr>
        <w:pStyle w:val="3"/>
        <w:keepNext w:val="0"/>
        <w:keepLines w:val="0"/>
        <w:pageBreakBefore w:val="0"/>
        <w:widowControl w:val="0"/>
        <w:kinsoku/>
        <w:wordWrap/>
        <w:overflowPunct/>
        <w:topLinePunct w:val="0"/>
        <w:autoSpaceDE/>
        <w:autoSpaceDN/>
        <w:bidi w:val="0"/>
        <w:adjustRightInd w:val="0"/>
        <w:snapToGrid w:val="0"/>
        <w:textAlignment w:val="auto"/>
        <w:rPr>
          <w:rFonts w:eastAsia="仿宋"/>
          <w:color w:val="auto"/>
          <w:kern w:val="0"/>
          <w:szCs w:val="30"/>
        </w:rPr>
      </w:pPr>
      <w:bookmarkStart w:id="120" w:name="_Toc20370"/>
      <w:bookmarkStart w:id="121" w:name="_Toc28117"/>
      <w:bookmarkStart w:id="122" w:name="_Toc4526"/>
      <w:r>
        <w:rPr>
          <w:rFonts w:eastAsia="仿宋"/>
          <w:color w:val="auto"/>
          <w:kern w:val="0"/>
          <w:szCs w:val="30"/>
        </w:rPr>
        <w:t>6.6水行政主管部门监督检查意见落实情况</w:t>
      </w:r>
      <w:bookmarkEnd w:id="120"/>
      <w:bookmarkEnd w:id="121"/>
      <w:bookmarkEnd w:id="122"/>
    </w:p>
    <w:p w14:paraId="0E841F92">
      <w:pPr>
        <w:keepNext w:val="0"/>
        <w:keepLines w:val="0"/>
        <w:pageBreakBefore w:val="0"/>
        <w:widowControl w:val="0"/>
        <w:kinsoku/>
        <w:wordWrap/>
        <w:overflowPunct/>
        <w:topLinePunct w:val="0"/>
        <w:autoSpaceDE/>
        <w:autoSpaceDN/>
        <w:bidi w:val="0"/>
        <w:adjustRightInd w:val="0"/>
        <w:snapToGrid w:val="0"/>
        <w:ind w:firstLine="560"/>
        <w:textAlignment w:val="auto"/>
        <w:rPr>
          <w:rFonts w:eastAsia="仿宋"/>
          <w:color w:val="auto"/>
          <w:kern w:val="0"/>
          <w:szCs w:val="22"/>
        </w:rPr>
      </w:pPr>
      <w:r>
        <w:rPr>
          <w:rFonts w:eastAsia="仿宋"/>
          <w:color w:val="auto"/>
          <w:kern w:val="0"/>
          <w:szCs w:val="22"/>
        </w:rPr>
        <w:t>在工程建设过程中行政主管部门通过建设</w:t>
      </w:r>
      <w:r>
        <w:rPr>
          <w:rFonts w:hint="eastAsia" w:eastAsia="仿宋"/>
          <w:color w:val="auto"/>
          <w:kern w:val="0"/>
          <w:szCs w:val="22"/>
        </w:rPr>
        <w:t>单位</w:t>
      </w:r>
      <w:r>
        <w:rPr>
          <w:rFonts w:eastAsia="仿宋"/>
          <w:color w:val="auto"/>
          <w:kern w:val="0"/>
          <w:szCs w:val="22"/>
        </w:rPr>
        <w:t>报送的水土保持监测</w:t>
      </w:r>
      <w:r>
        <w:rPr>
          <w:rFonts w:hint="eastAsia" w:eastAsia="仿宋"/>
          <w:color w:val="auto"/>
          <w:kern w:val="0"/>
          <w:szCs w:val="22"/>
          <w:lang w:val="en-US" w:eastAsia="zh-CN"/>
        </w:rPr>
        <w:t>季报</w:t>
      </w:r>
      <w:r>
        <w:rPr>
          <w:rFonts w:eastAsia="仿宋"/>
          <w:color w:val="auto"/>
          <w:kern w:val="0"/>
          <w:szCs w:val="22"/>
        </w:rPr>
        <w:t>等相关资料，对工程水土保持工作开展情况与建设单位进行多次联系和沟通，并提出相应的指导意见。建设单位根据水行政主管部门的指导意见，并结合工程实际施工情况，及时安排施工责任单位予以落实和整改。</w:t>
      </w:r>
    </w:p>
    <w:p w14:paraId="4C1C4C13">
      <w:pPr>
        <w:pStyle w:val="3"/>
        <w:widowControl/>
        <w:rPr>
          <w:rFonts w:eastAsia="仿宋"/>
          <w:color w:val="auto"/>
          <w:kern w:val="0"/>
          <w:szCs w:val="30"/>
        </w:rPr>
      </w:pPr>
      <w:bookmarkStart w:id="123" w:name="_Toc14981"/>
      <w:bookmarkStart w:id="124" w:name="_Toc11932"/>
      <w:bookmarkStart w:id="125" w:name="_Toc31298"/>
      <w:r>
        <w:rPr>
          <w:rFonts w:eastAsia="仿宋"/>
          <w:color w:val="auto"/>
          <w:kern w:val="0"/>
          <w:szCs w:val="30"/>
        </w:rPr>
        <w:t>6.7水土保持补偿费缴纳情况</w:t>
      </w:r>
      <w:bookmarkEnd w:id="123"/>
      <w:bookmarkEnd w:id="124"/>
      <w:bookmarkEnd w:id="125"/>
    </w:p>
    <w:p w14:paraId="4E28003A">
      <w:pPr>
        <w:adjustRightInd w:val="0"/>
        <w:snapToGrid w:val="0"/>
        <w:ind w:firstLine="560"/>
        <w:rPr>
          <w:rFonts w:eastAsia="仿宋"/>
          <w:bCs/>
          <w:color w:val="auto"/>
          <w:szCs w:val="28"/>
        </w:rPr>
      </w:pPr>
      <w:r>
        <w:rPr>
          <w:rFonts w:eastAsia="仿宋"/>
          <w:bCs/>
          <w:color w:val="auto"/>
          <w:szCs w:val="28"/>
        </w:rPr>
        <w:t>根据已批复的水土保持方案报告及水土保持方案批复文件，本项目</w:t>
      </w:r>
      <w:r>
        <w:rPr>
          <w:rFonts w:hint="eastAsia" w:eastAsia="仿宋"/>
          <w:bCs/>
          <w:color w:val="auto"/>
          <w:szCs w:val="28"/>
          <w:lang w:val="en-US" w:eastAsia="zh-CN"/>
        </w:rPr>
        <w:t xml:space="preserve"> 免征水土保持补偿费</w:t>
      </w:r>
      <w:r>
        <w:rPr>
          <w:rFonts w:eastAsia="仿宋"/>
          <w:bCs/>
          <w:color w:val="auto"/>
          <w:szCs w:val="28"/>
        </w:rPr>
        <w:t>。</w:t>
      </w:r>
    </w:p>
    <w:p w14:paraId="42217063">
      <w:pPr>
        <w:pStyle w:val="3"/>
        <w:widowControl/>
        <w:rPr>
          <w:rFonts w:eastAsia="仿宋"/>
          <w:color w:val="auto"/>
          <w:kern w:val="0"/>
          <w:szCs w:val="30"/>
        </w:rPr>
      </w:pPr>
      <w:bookmarkStart w:id="126" w:name="_Toc19474"/>
      <w:bookmarkStart w:id="127" w:name="_Toc17413"/>
      <w:bookmarkStart w:id="128" w:name="_Toc14961"/>
      <w:r>
        <w:rPr>
          <w:rFonts w:eastAsia="仿宋"/>
          <w:color w:val="auto"/>
          <w:kern w:val="0"/>
          <w:szCs w:val="30"/>
        </w:rPr>
        <w:t>6.8水土保持设施管理维护</w:t>
      </w:r>
      <w:bookmarkEnd w:id="126"/>
      <w:bookmarkEnd w:id="127"/>
      <w:bookmarkEnd w:id="128"/>
    </w:p>
    <w:p w14:paraId="54E8A650">
      <w:pPr>
        <w:adjustRightInd w:val="0"/>
        <w:snapToGrid w:val="0"/>
        <w:ind w:firstLine="560"/>
        <w:rPr>
          <w:rFonts w:eastAsia="仿宋"/>
          <w:color w:val="auto"/>
          <w:kern w:val="0"/>
          <w:szCs w:val="22"/>
        </w:rPr>
      </w:pPr>
      <w:r>
        <w:rPr>
          <w:rFonts w:eastAsia="仿宋"/>
          <w:color w:val="auto"/>
          <w:kern w:val="0"/>
          <w:szCs w:val="22"/>
        </w:rPr>
        <w:t>工程已建成的水土保持设施由</w:t>
      </w:r>
      <w:r>
        <w:rPr>
          <w:rFonts w:hint="eastAsia" w:eastAsia="仿宋"/>
          <w:color w:val="auto"/>
          <w:kern w:val="0"/>
          <w:szCs w:val="22"/>
          <w:lang w:val="en-US" w:eastAsia="zh-CN"/>
        </w:rPr>
        <w:t>福建省</w:t>
      </w:r>
      <w:r>
        <w:rPr>
          <w:rFonts w:hint="eastAsia" w:eastAsia="仿宋"/>
          <w:color w:val="auto"/>
          <w:kern w:val="0"/>
          <w:szCs w:val="22"/>
          <w:lang w:eastAsia="zh-CN"/>
        </w:rPr>
        <w:t>福州市延安中学</w:t>
      </w:r>
      <w:r>
        <w:rPr>
          <w:rFonts w:eastAsia="仿宋"/>
          <w:color w:val="auto"/>
          <w:kern w:val="0"/>
          <w:szCs w:val="22"/>
        </w:rPr>
        <w:t>负责。管理单位</w:t>
      </w:r>
      <w:r>
        <w:rPr>
          <w:rFonts w:hint="eastAsia" w:eastAsia="仿宋"/>
          <w:color w:val="auto"/>
          <w:kern w:val="0"/>
          <w:szCs w:val="22"/>
          <w:lang w:eastAsia="zh-CN"/>
        </w:rPr>
        <w:t>指派</w:t>
      </w:r>
      <w:r>
        <w:rPr>
          <w:rFonts w:eastAsia="仿宋"/>
          <w:color w:val="auto"/>
          <w:kern w:val="0"/>
          <w:szCs w:val="22"/>
        </w:rPr>
        <w:t>专人负责各项设施的日常管护，要求对工程措施不定期检查，出现异常情况及时修复和加固；植物措施不定期进行抚育，出现死亡情况及时补植、更新，确保水土保持设施正常运行。</w:t>
      </w:r>
    </w:p>
    <w:p w14:paraId="3A150F7D">
      <w:pPr>
        <w:adjustRightInd w:val="0"/>
        <w:snapToGrid w:val="0"/>
        <w:ind w:firstLine="560"/>
        <w:rPr>
          <w:rFonts w:eastAsia="仿宋"/>
          <w:color w:val="auto"/>
          <w:kern w:val="0"/>
          <w:szCs w:val="22"/>
        </w:rPr>
      </w:pPr>
      <w:r>
        <w:rPr>
          <w:rFonts w:eastAsia="仿宋"/>
          <w:color w:val="auto"/>
          <w:kern w:val="0"/>
          <w:szCs w:val="22"/>
        </w:rPr>
        <w:t>从目前的运行情况看，水土保持管理责任明确，规章制度落实到位，水土保持设施运行正常。</w:t>
      </w:r>
    </w:p>
    <w:p w14:paraId="54412DB6">
      <w:pPr>
        <w:ind w:firstLine="560"/>
        <w:rPr>
          <w:color w:val="auto"/>
        </w:rPr>
        <w:sectPr>
          <w:headerReference r:id="rId25" w:type="default"/>
          <w:headerReference r:id="rId26"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p>
    <w:p w14:paraId="3E633AA6">
      <w:pPr>
        <w:pStyle w:val="2"/>
        <w:widowControl/>
        <w:adjustRightInd w:val="0"/>
        <w:snapToGrid w:val="0"/>
        <w:spacing w:line="480" w:lineRule="auto"/>
        <w:ind w:firstLine="723"/>
        <w:rPr>
          <w:rFonts w:eastAsia="仿宋"/>
          <w:color w:val="auto"/>
          <w:szCs w:val="22"/>
        </w:rPr>
      </w:pPr>
      <w:bookmarkStart w:id="129" w:name="_Toc29099"/>
      <w:bookmarkStart w:id="130" w:name="_Toc22038"/>
      <w:bookmarkStart w:id="131" w:name="_Toc31168"/>
      <w:r>
        <w:rPr>
          <w:rFonts w:eastAsia="仿宋"/>
          <w:color w:val="auto"/>
          <w:szCs w:val="22"/>
        </w:rPr>
        <w:t>7 结论及阶段工作安排</w:t>
      </w:r>
      <w:bookmarkEnd w:id="129"/>
      <w:bookmarkEnd w:id="130"/>
      <w:bookmarkEnd w:id="131"/>
    </w:p>
    <w:p w14:paraId="36A7BEDE">
      <w:pPr>
        <w:pStyle w:val="3"/>
        <w:widowControl/>
        <w:rPr>
          <w:rFonts w:eastAsia="仿宋"/>
          <w:color w:val="auto"/>
          <w:kern w:val="0"/>
          <w:szCs w:val="30"/>
        </w:rPr>
      </w:pPr>
      <w:bookmarkStart w:id="132" w:name="_Toc11829"/>
      <w:bookmarkStart w:id="133" w:name="_Toc20668"/>
      <w:bookmarkStart w:id="134" w:name="_Toc26597"/>
      <w:r>
        <w:rPr>
          <w:rFonts w:eastAsia="仿宋"/>
          <w:color w:val="auto"/>
          <w:kern w:val="0"/>
          <w:szCs w:val="30"/>
        </w:rPr>
        <w:t>7.1结论</w:t>
      </w:r>
      <w:bookmarkEnd w:id="132"/>
      <w:bookmarkEnd w:id="133"/>
    </w:p>
    <w:p w14:paraId="39C48DA8">
      <w:pPr>
        <w:widowControl/>
        <w:adjustRightInd w:val="0"/>
        <w:snapToGrid w:val="0"/>
        <w:ind w:firstLine="560"/>
        <w:rPr>
          <w:rFonts w:eastAsia="仿宋"/>
          <w:bCs/>
          <w:color w:val="auto"/>
          <w:szCs w:val="28"/>
        </w:rPr>
      </w:pPr>
      <w:r>
        <w:rPr>
          <w:rFonts w:hint="eastAsia" w:eastAsia="仿宋"/>
          <w:color w:val="auto"/>
          <w:kern w:val="0"/>
          <w:szCs w:val="22"/>
          <w:lang w:val="en-US" w:eastAsia="zh-CN"/>
        </w:rPr>
        <w:t>福建省</w:t>
      </w:r>
      <w:r>
        <w:rPr>
          <w:rFonts w:hint="eastAsia" w:eastAsia="仿宋"/>
          <w:color w:val="auto"/>
          <w:kern w:val="0"/>
          <w:szCs w:val="22"/>
          <w:lang w:eastAsia="zh-CN"/>
        </w:rPr>
        <w:t>福州市延安中学</w:t>
      </w:r>
      <w:r>
        <w:rPr>
          <w:rFonts w:eastAsia="仿宋"/>
          <w:bCs/>
          <w:color w:val="auto"/>
          <w:szCs w:val="28"/>
        </w:rPr>
        <w:t>对防治责任范围内的水土流失进行了全面、系统的治理，项目区总占地</w:t>
      </w:r>
      <w:r>
        <w:rPr>
          <w:rFonts w:hint="eastAsia" w:eastAsia="仿宋"/>
          <w:bCs/>
          <w:color w:val="auto"/>
          <w:szCs w:val="28"/>
          <w:lang w:val="en-US" w:eastAsia="zh-CN"/>
        </w:rPr>
        <w:t>面积2.90h</w:t>
      </w:r>
      <w:r>
        <w:rPr>
          <w:rFonts w:eastAsia="仿宋"/>
          <w:bCs/>
          <w:color w:val="auto"/>
          <w:szCs w:val="28"/>
        </w:rPr>
        <w:t>m</w:t>
      </w:r>
      <w:r>
        <w:rPr>
          <w:rFonts w:eastAsia="仿宋"/>
          <w:bCs/>
          <w:color w:val="auto"/>
          <w:szCs w:val="28"/>
          <w:vertAlign w:val="superscript"/>
        </w:rPr>
        <w:t>2</w:t>
      </w:r>
      <w:r>
        <w:rPr>
          <w:rFonts w:eastAsia="仿宋"/>
          <w:bCs/>
          <w:color w:val="auto"/>
          <w:szCs w:val="28"/>
        </w:rPr>
        <w:t>，扰动地表面积为</w:t>
      </w:r>
      <w:r>
        <w:rPr>
          <w:rFonts w:hint="eastAsia" w:eastAsia="仿宋"/>
          <w:bCs/>
          <w:color w:val="auto"/>
          <w:szCs w:val="28"/>
          <w:lang w:val="en-US" w:eastAsia="zh-CN"/>
        </w:rPr>
        <w:t>2.90h</w:t>
      </w:r>
      <w:r>
        <w:rPr>
          <w:rFonts w:eastAsia="仿宋"/>
          <w:bCs/>
          <w:color w:val="auto"/>
          <w:szCs w:val="28"/>
        </w:rPr>
        <w:t>m</w:t>
      </w:r>
      <w:r>
        <w:rPr>
          <w:rFonts w:eastAsia="仿宋"/>
          <w:bCs/>
          <w:color w:val="auto"/>
          <w:szCs w:val="28"/>
          <w:vertAlign w:val="superscript"/>
        </w:rPr>
        <w:t>2</w:t>
      </w:r>
      <w:r>
        <w:rPr>
          <w:rFonts w:hint="eastAsia" w:eastAsia="仿宋"/>
          <w:bCs/>
          <w:color w:val="auto"/>
          <w:szCs w:val="28"/>
        </w:rPr>
        <w:t>。</w:t>
      </w:r>
    </w:p>
    <w:p w14:paraId="50F08195">
      <w:pPr>
        <w:adjustRightInd w:val="0"/>
        <w:snapToGrid w:val="0"/>
        <w:ind w:firstLine="560"/>
        <w:rPr>
          <w:color w:val="auto"/>
          <w:kern w:val="0"/>
          <w:szCs w:val="22"/>
        </w:rPr>
      </w:pPr>
      <w:r>
        <w:rPr>
          <w:rFonts w:eastAsia="仿宋"/>
          <w:bCs/>
          <w:color w:val="auto"/>
          <w:szCs w:val="28"/>
        </w:rPr>
        <w:t>根据水土保持方案设计和工程实际情况，项目建设区完成的水土保持设施工程有</w:t>
      </w:r>
      <w:r>
        <w:rPr>
          <w:rFonts w:hint="eastAsia" w:eastAsia="仿宋"/>
          <w:color w:val="auto"/>
          <w:kern w:val="0"/>
          <w:szCs w:val="22"/>
        </w:rPr>
        <w:t>雨水管网、</w:t>
      </w:r>
      <w:r>
        <w:rPr>
          <w:rFonts w:eastAsia="仿宋"/>
          <w:color w:val="auto"/>
          <w:szCs w:val="28"/>
        </w:rPr>
        <w:t>土地整治、</w:t>
      </w:r>
      <w:r>
        <w:rPr>
          <w:rFonts w:hint="eastAsia" w:eastAsia="仿宋"/>
          <w:color w:val="auto"/>
          <w:szCs w:val="28"/>
          <w:lang w:val="en-US" w:eastAsia="zh-CN"/>
        </w:rPr>
        <w:t>回填</w:t>
      </w:r>
      <w:r>
        <w:rPr>
          <w:rFonts w:hint="eastAsia" w:eastAsia="仿宋"/>
          <w:color w:val="auto"/>
          <w:szCs w:val="28"/>
        </w:rPr>
        <w:t>覆土、</w:t>
      </w:r>
      <w:r>
        <w:rPr>
          <w:rFonts w:hint="eastAsia" w:eastAsia="仿宋"/>
          <w:color w:val="auto"/>
          <w:szCs w:val="28"/>
          <w:lang w:val="en-US" w:eastAsia="zh-CN"/>
        </w:rPr>
        <w:t>植草砖、基坑截水沟、基坑排水沟、洗车池、排水沟、</w:t>
      </w:r>
      <w:r>
        <w:rPr>
          <w:rFonts w:hint="eastAsia" w:eastAsia="仿宋"/>
          <w:color w:val="auto"/>
          <w:szCs w:val="28"/>
        </w:rPr>
        <w:t>沉沙池</w:t>
      </w:r>
      <w:r>
        <w:rPr>
          <w:rFonts w:hint="eastAsia" w:eastAsia="仿宋"/>
          <w:color w:val="auto"/>
          <w:szCs w:val="28"/>
          <w:lang w:eastAsia="zh-CN"/>
        </w:rPr>
        <w:t>、</w:t>
      </w:r>
      <w:r>
        <w:rPr>
          <w:rFonts w:hint="eastAsia" w:eastAsia="仿宋"/>
          <w:color w:val="auto"/>
          <w:szCs w:val="28"/>
          <w:lang w:val="en-US" w:eastAsia="zh-CN"/>
        </w:rPr>
        <w:t>密目网苫盖、</w:t>
      </w:r>
      <w:r>
        <w:rPr>
          <w:rFonts w:eastAsia="仿宋"/>
          <w:color w:val="auto"/>
          <w:szCs w:val="28"/>
        </w:rPr>
        <w:t>景观绿化</w:t>
      </w:r>
      <w:r>
        <w:rPr>
          <w:rFonts w:eastAsia="仿宋"/>
          <w:color w:val="auto"/>
          <w:kern w:val="0"/>
          <w:szCs w:val="22"/>
        </w:rPr>
        <w:t>等</w:t>
      </w:r>
      <w:r>
        <w:rPr>
          <w:rFonts w:eastAsia="仿宋"/>
          <w:bCs/>
          <w:color w:val="auto"/>
          <w:szCs w:val="28"/>
        </w:rPr>
        <w:t>。</w:t>
      </w:r>
    </w:p>
    <w:p w14:paraId="4E1CA3A3">
      <w:pPr>
        <w:widowControl/>
        <w:adjustRightInd w:val="0"/>
        <w:snapToGrid w:val="0"/>
        <w:ind w:firstLine="560"/>
        <w:rPr>
          <w:rFonts w:hint="eastAsia" w:eastAsia="仿宋"/>
          <w:bCs/>
          <w:color w:val="auto"/>
          <w:szCs w:val="28"/>
        </w:rPr>
      </w:pPr>
      <w:r>
        <w:rPr>
          <w:rFonts w:eastAsia="仿宋"/>
          <w:bCs/>
          <w:color w:val="auto"/>
          <w:szCs w:val="28"/>
        </w:rPr>
        <w:t>实施措施后</w:t>
      </w:r>
      <w:r>
        <w:rPr>
          <w:rFonts w:hint="eastAsia" w:eastAsia="仿宋"/>
          <w:bCs/>
          <w:color w:val="auto"/>
          <w:szCs w:val="28"/>
        </w:rPr>
        <w:t>水土流失治理度</w:t>
      </w:r>
      <w:r>
        <w:rPr>
          <w:rFonts w:eastAsia="仿宋"/>
          <w:bCs/>
          <w:color w:val="auto"/>
          <w:szCs w:val="28"/>
        </w:rPr>
        <w:t>达</w:t>
      </w:r>
      <w:r>
        <w:rPr>
          <w:rFonts w:hint="eastAsia" w:eastAsia="仿宋"/>
          <w:bCs/>
          <w:color w:val="auto"/>
          <w:szCs w:val="28"/>
          <w:lang w:val="en-US" w:eastAsia="zh-CN"/>
        </w:rPr>
        <w:t>到99.31</w:t>
      </w:r>
      <w:r>
        <w:rPr>
          <w:rFonts w:hint="eastAsia" w:eastAsia="仿宋"/>
          <w:bCs/>
          <w:color w:val="auto"/>
          <w:szCs w:val="28"/>
          <w:lang w:eastAsia="zh-CN"/>
        </w:rPr>
        <w:t>%</w:t>
      </w:r>
      <w:r>
        <w:rPr>
          <w:rFonts w:eastAsia="仿宋"/>
          <w:bCs/>
          <w:color w:val="auto"/>
          <w:szCs w:val="28"/>
        </w:rPr>
        <w:t>，土壤流失控制比为</w:t>
      </w:r>
      <w:r>
        <w:rPr>
          <w:rFonts w:hint="eastAsia" w:eastAsia="仿宋"/>
          <w:bCs/>
          <w:color w:val="auto"/>
          <w:szCs w:val="28"/>
          <w:lang w:val="en-US" w:eastAsia="zh-CN"/>
        </w:rPr>
        <w:t>1.56</w:t>
      </w:r>
      <w:r>
        <w:rPr>
          <w:rFonts w:eastAsia="仿宋"/>
          <w:bCs/>
          <w:color w:val="auto"/>
          <w:szCs w:val="28"/>
        </w:rPr>
        <w:t>，渣土防护率达到</w:t>
      </w:r>
      <w:r>
        <w:rPr>
          <w:rFonts w:hint="eastAsia" w:eastAsia="仿宋"/>
          <w:bCs/>
          <w:color w:val="auto"/>
          <w:szCs w:val="28"/>
          <w:lang w:val="en-US" w:eastAsia="zh-CN"/>
        </w:rPr>
        <w:t>99.53</w:t>
      </w:r>
      <w:r>
        <w:rPr>
          <w:rFonts w:hint="eastAsia" w:eastAsia="仿宋"/>
          <w:bCs/>
          <w:color w:val="auto"/>
          <w:szCs w:val="28"/>
          <w:lang w:eastAsia="zh-CN"/>
        </w:rPr>
        <w:t>%</w:t>
      </w:r>
      <w:r>
        <w:rPr>
          <w:rFonts w:eastAsia="仿宋"/>
          <w:bCs/>
          <w:color w:val="auto"/>
          <w:szCs w:val="28"/>
        </w:rPr>
        <w:t>，</w:t>
      </w:r>
      <w:r>
        <w:rPr>
          <w:rFonts w:hint="eastAsia" w:eastAsia="仿宋"/>
          <w:bCs/>
          <w:color w:val="auto"/>
          <w:szCs w:val="28"/>
        </w:rPr>
        <w:t>表土保护率不</w:t>
      </w:r>
      <w:r>
        <w:rPr>
          <w:rFonts w:hint="eastAsia" w:eastAsia="仿宋"/>
          <w:bCs/>
          <w:color w:val="auto"/>
          <w:szCs w:val="28"/>
          <w:lang w:eastAsia="zh-CN"/>
        </w:rPr>
        <w:t>作</w:t>
      </w:r>
      <w:r>
        <w:rPr>
          <w:rFonts w:hint="eastAsia" w:eastAsia="仿宋"/>
          <w:bCs/>
          <w:color w:val="auto"/>
          <w:szCs w:val="28"/>
        </w:rPr>
        <w:t>评价</w:t>
      </w:r>
      <w:r>
        <w:rPr>
          <w:rFonts w:eastAsia="仿宋"/>
          <w:bCs/>
          <w:color w:val="auto"/>
          <w:szCs w:val="28"/>
        </w:rPr>
        <w:t>，林草植被恢复率达到</w:t>
      </w:r>
      <w:r>
        <w:rPr>
          <w:rFonts w:hint="eastAsia" w:eastAsia="仿宋"/>
          <w:bCs/>
          <w:color w:val="auto"/>
          <w:szCs w:val="28"/>
          <w:lang w:eastAsia="zh-CN"/>
        </w:rPr>
        <w:t>9</w:t>
      </w:r>
      <w:r>
        <w:rPr>
          <w:rFonts w:hint="eastAsia" w:eastAsia="仿宋"/>
          <w:bCs/>
          <w:color w:val="auto"/>
          <w:szCs w:val="28"/>
          <w:lang w:val="en-US" w:eastAsia="zh-CN"/>
        </w:rPr>
        <w:t>8.80</w:t>
      </w:r>
      <w:r>
        <w:rPr>
          <w:rFonts w:hint="eastAsia" w:eastAsia="仿宋"/>
          <w:bCs/>
          <w:color w:val="auto"/>
          <w:szCs w:val="28"/>
          <w:lang w:eastAsia="zh-CN"/>
        </w:rPr>
        <w:t>%</w:t>
      </w:r>
      <w:r>
        <w:rPr>
          <w:rFonts w:eastAsia="仿宋"/>
          <w:bCs/>
          <w:color w:val="auto"/>
          <w:szCs w:val="28"/>
        </w:rPr>
        <w:t>，林草植被覆盖率达到</w:t>
      </w:r>
      <w:r>
        <w:rPr>
          <w:rFonts w:hint="eastAsia" w:eastAsia="仿宋"/>
          <w:bCs/>
          <w:color w:val="auto"/>
          <w:szCs w:val="28"/>
          <w:lang w:val="en-US" w:eastAsia="zh-CN"/>
        </w:rPr>
        <w:t>28.28</w:t>
      </w:r>
      <w:r>
        <w:rPr>
          <w:rFonts w:hint="eastAsia" w:eastAsia="仿宋"/>
          <w:bCs/>
          <w:color w:val="auto"/>
          <w:szCs w:val="28"/>
          <w:lang w:eastAsia="zh-CN"/>
        </w:rPr>
        <w:t>%</w:t>
      </w:r>
      <w:r>
        <w:rPr>
          <w:rFonts w:eastAsia="仿宋"/>
          <w:bCs/>
          <w:color w:val="auto"/>
          <w:szCs w:val="28"/>
        </w:rPr>
        <w:t>。目前，已经实施的各项防治措施运行效果良好。经过治理，项目建设区的生态环境得到了一定程度的改善。随着工程竣工验收工作的开展，结果均为合格。</w:t>
      </w:r>
    </w:p>
    <w:p w14:paraId="414BE640">
      <w:pPr>
        <w:pStyle w:val="3"/>
        <w:widowControl/>
        <w:rPr>
          <w:rFonts w:eastAsia="仿宋"/>
          <w:color w:val="auto"/>
          <w:kern w:val="0"/>
          <w:szCs w:val="30"/>
        </w:rPr>
      </w:pPr>
      <w:bookmarkStart w:id="135" w:name="_Toc4468"/>
      <w:r>
        <w:rPr>
          <w:rFonts w:eastAsia="仿宋"/>
          <w:color w:val="auto"/>
          <w:kern w:val="0"/>
          <w:szCs w:val="30"/>
        </w:rPr>
        <w:t>7.2遗留问题安排</w:t>
      </w:r>
      <w:bookmarkEnd w:id="134"/>
      <w:bookmarkEnd w:id="135"/>
    </w:p>
    <w:p w14:paraId="1DACBD1B">
      <w:pPr>
        <w:widowControl/>
        <w:adjustRightInd w:val="0"/>
        <w:snapToGrid w:val="0"/>
        <w:ind w:firstLine="560"/>
        <w:rPr>
          <w:rFonts w:eastAsia="仿宋"/>
          <w:color w:val="auto"/>
          <w:kern w:val="0"/>
          <w:szCs w:val="22"/>
        </w:rPr>
      </w:pPr>
      <w:r>
        <w:rPr>
          <w:rFonts w:eastAsia="仿宋"/>
          <w:color w:val="auto"/>
          <w:kern w:val="0"/>
          <w:szCs w:val="22"/>
        </w:rPr>
        <w:t>本项目较好地完成了《水土保持方案》设计的任务，总体上工程质量均达到合格以上，防治目标绝大部分达到和超过防治标准的要求，项目建设满足工程竣工验收的条件。但仍有如下几点需要进行补充和完善。</w:t>
      </w:r>
    </w:p>
    <w:p w14:paraId="7E6CD8F7">
      <w:pPr>
        <w:widowControl/>
        <w:adjustRightInd w:val="0"/>
        <w:snapToGrid w:val="0"/>
        <w:ind w:firstLine="560"/>
        <w:rPr>
          <w:rFonts w:eastAsia="仿宋"/>
          <w:color w:val="auto"/>
          <w:kern w:val="0"/>
          <w:szCs w:val="22"/>
        </w:rPr>
      </w:pPr>
      <w:r>
        <w:rPr>
          <w:rFonts w:eastAsia="仿宋"/>
          <w:color w:val="auto"/>
          <w:kern w:val="0"/>
          <w:szCs w:val="22"/>
        </w:rPr>
        <w:t>（1）定期巡查项目建设区内已落实水土保持设施运行情况，及时整修损坏的水土保持设施；</w:t>
      </w:r>
    </w:p>
    <w:p w14:paraId="3CDC2C61">
      <w:pPr>
        <w:widowControl/>
        <w:adjustRightInd w:val="0"/>
        <w:snapToGrid w:val="0"/>
        <w:ind w:firstLine="560"/>
        <w:rPr>
          <w:rFonts w:eastAsia="仿宋"/>
          <w:color w:val="auto"/>
          <w:kern w:val="0"/>
          <w:szCs w:val="22"/>
        </w:rPr>
      </w:pPr>
      <w:r>
        <w:rPr>
          <w:rFonts w:eastAsia="仿宋"/>
          <w:color w:val="auto"/>
          <w:kern w:val="0"/>
          <w:szCs w:val="22"/>
        </w:rPr>
        <w:t>（2）应加强对水土保持设施的管理与维护，以发挥长远效益</w:t>
      </w:r>
      <w:r>
        <w:rPr>
          <w:rFonts w:hint="eastAsia" w:eastAsia="仿宋"/>
          <w:color w:val="auto"/>
          <w:kern w:val="0"/>
          <w:szCs w:val="22"/>
        </w:rPr>
        <w:t>；</w:t>
      </w:r>
    </w:p>
    <w:p w14:paraId="3554330F">
      <w:pPr>
        <w:widowControl/>
        <w:adjustRightInd w:val="0"/>
        <w:snapToGrid w:val="0"/>
        <w:ind w:firstLine="560"/>
        <w:rPr>
          <w:color w:val="auto"/>
        </w:rPr>
        <w:sectPr>
          <w:headerReference r:id="rId27" w:type="default"/>
          <w:headerReference r:id="rId28"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pPr>
    </w:p>
    <w:p w14:paraId="1BC19A05">
      <w:pPr>
        <w:pStyle w:val="2"/>
        <w:widowControl/>
        <w:adjustRightInd w:val="0"/>
        <w:snapToGrid w:val="0"/>
        <w:spacing w:line="480" w:lineRule="auto"/>
        <w:ind w:firstLine="723"/>
        <w:rPr>
          <w:rFonts w:eastAsia="仿宋"/>
          <w:color w:val="auto"/>
          <w:szCs w:val="22"/>
        </w:rPr>
      </w:pPr>
      <w:bookmarkStart w:id="136" w:name="_Toc12546"/>
      <w:r>
        <w:rPr>
          <w:rFonts w:hint="eastAsia" w:eastAsia="仿宋"/>
          <w:color w:val="auto"/>
          <w:szCs w:val="22"/>
        </w:rPr>
        <w:t>8 附件及附图</w:t>
      </w:r>
      <w:bookmarkEnd w:id="136"/>
    </w:p>
    <w:p w14:paraId="2396F511">
      <w:pPr>
        <w:pStyle w:val="3"/>
        <w:widowControl/>
        <w:rPr>
          <w:rFonts w:eastAsia="仿宋"/>
          <w:color w:val="auto"/>
          <w:kern w:val="0"/>
          <w:szCs w:val="30"/>
        </w:rPr>
      </w:pPr>
      <w:bookmarkStart w:id="137" w:name="_Toc4651"/>
      <w:r>
        <w:rPr>
          <w:rFonts w:hint="eastAsia" w:eastAsia="仿宋"/>
          <w:color w:val="auto"/>
          <w:kern w:val="0"/>
          <w:szCs w:val="30"/>
        </w:rPr>
        <w:t>8.1 附件</w:t>
      </w:r>
      <w:bookmarkEnd w:id="137"/>
    </w:p>
    <w:p w14:paraId="0D7567A0">
      <w:pPr>
        <w:widowControl/>
        <w:adjustRightInd w:val="0"/>
        <w:snapToGrid w:val="0"/>
        <w:ind w:firstLine="560"/>
        <w:rPr>
          <w:rFonts w:eastAsia="仿宋"/>
          <w:color w:val="auto"/>
          <w:kern w:val="0"/>
          <w:szCs w:val="22"/>
        </w:rPr>
      </w:pPr>
      <w:r>
        <w:rPr>
          <w:rFonts w:hint="eastAsia" w:eastAsia="仿宋"/>
          <w:color w:val="auto"/>
          <w:kern w:val="0"/>
          <w:szCs w:val="22"/>
        </w:rPr>
        <w:t>附件 01 水土保持大事记</w:t>
      </w:r>
    </w:p>
    <w:p w14:paraId="41D29899">
      <w:pPr>
        <w:widowControl/>
        <w:adjustRightInd w:val="0"/>
        <w:snapToGrid w:val="0"/>
        <w:ind w:firstLine="560"/>
        <w:rPr>
          <w:rFonts w:hint="eastAsia" w:eastAsia="仿宋"/>
          <w:color w:val="auto"/>
          <w:kern w:val="0"/>
          <w:szCs w:val="22"/>
        </w:rPr>
      </w:pPr>
      <w:r>
        <w:rPr>
          <w:rFonts w:hint="eastAsia" w:eastAsia="仿宋"/>
          <w:color w:val="auto"/>
          <w:kern w:val="0"/>
          <w:szCs w:val="22"/>
        </w:rPr>
        <w:t>附件 02 《</w:t>
      </w:r>
      <w:r>
        <w:rPr>
          <w:rFonts w:hint="eastAsia" w:eastAsia="仿宋"/>
          <w:color w:val="auto"/>
          <w:kern w:val="0"/>
          <w:szCs w:val="22"/>
          <w:lang w:val="en-US" w:eastAsia="zh-CN"/>
        </w:rPr>
        <w:t>福州市鼓楼区发展和改革局关于福州市延安中学教育集团国福校区项目可行性研究报告的批复</w:t>
      </w:r>
      <w:r>
        <w:rPr>
          <w:rFonts w:hint="eastAsia" w:eastAsia="仿宋"/>
          <w:color w:val="auto"/>
          <w:kern w:val="0"/>
          <w:szCs w:val="22"/>
        </w:rPr>
        <w:t>》（</w:t>
      </w:r>
      <w:r>
        <w:rPr>
          <w:rFonts w:hint="eastAsia" w:eastAsia="仿宋"/>
          <w:color w:val="auto"/>
          <w:kern w:val="0"/>
          <w:szCs w:val="22"/>
          <w:lang w:val="en-US" w:eastAsia="zh-CN"/>
        </w:rPr>
        <w:t>鼓</w:t>
      </w:r>
      <w:r>
        <w:rPr>
          <w:rFonts w:hint="eastAsia" w:eastAsia="仿宋"/>
          <w:color w:val="auto"/>
          <w:kern w:val="0"/>
          <w:szCs w:val="22"/>
        </w:rPr>
        <w:t>发改</w:t>
      </w:r>
      <w:r>
        <w:rPr>
          <w:rFonts w:hint="eastAsia" w:eastAsia="仿宋"/>
          <w:color w:val="auto"/>
          <w:kern w:val="0"/>
          <w:szCs w:val="22"/>
          <w:lang w:val="en-US" w:eastAsia="zh-CN"/>
        </w:rPr>
        <w:t>基〔2022〕29号</w:t>
      </w:r>
      <w:r>
        <w:rPr>
          <w:rFonts w:hint="eastAsia" w:eastAsia="仿宋"/>
          <w:color w:val="auto"/>
          <w:kern w:val="0"/>
          <w:szCs w:val="22"/>
        </w:rPr>
        <w:t>）</w:t>
      </w:r>
    </w:p>
    <w:p w14:paraId="5C0932BD">
      <w:pPr>
        <w:widowControl/>
        <w:adjustRightInd w:val="0"/>
        <w:snapToGrid w:val="0"/>
        <w:ind w:firstLine="560"/>
        <w:rPr>
          <w:rFonts w:eastAsia="仿宋"/>
          <w:color w:val="auto"/>
          <w:kern w:val="0"/>
          <w:szCs w:val="22"/>
        </w:rPr>
      </w:pPr>
      <w:r>
        <w:rPr>
          <w:rFonts w:hint="eastAsia" w:eastAsia="仿宋"/>
          <w:color w:val="auto"/>
          <w:kern w:val="0"/>
          <w:szCs w:val="22"/>
        </w:rPr>
        <w:t>附件 03</w:t>
      </w:r>
      <w:r>
        <w:rPr>
          <w:rFonts w:hint="eastAsia" w:eastAsia="仿宋"/>
          <w:color w:val="auto"/>
          <w:kern w:val="0"/>
          <w:szCs w:val="22"/>
          <w:lang w:val="en-US" w:eastAsia="zh-CN"/>
        </w:rPr>
        <w:t xml:space="preserve"> </w:t>
      </w:r>
      <w:r>
        <w:rPr>
          <w:rFonts w:hint="eastAsia" w:eastAsia="仿宋"/>
          <w:color w:val="auto"/>
          <w:kern w:val="0"/>
          <w:szCs w:val="22"/>
        </w:rPr>
        <w:t xml:space="preserve"> </w:t>
      </w:r>
      <w:r>
        <w:rPr>
          <w:rFonts w:hint="eastAsia" w:eastAsia="仿宋"/>
          <w:color w:val="auto"/>
          <w:kern w:val="0"/>
          <w:szCs w:val="22"/>
          <w:lang w:eastAsia="zh-CN"/>
        </w:rPr>
        <w:t>福州市水利局《关于福州市延安中学教育集团国福校区水土保持方案的批复》（</w:t>
      </w:r>
      <w:r>
        <w:rPr>
          <w:rFonts w:hint="eastAsia" w:eastAsia="仿宋"/>
          <w:color w:val="auto"/>
          <w:kern w:val="0"/>
          <w:szCs w:val="22"/>
          <w:lang w:val="en-US" w:eastAsia="zh-CN"/>
        </w:rPr>
        <w:t>榕</w:t>
      </w:r>
      <w:r>
        <w:rPr>
          <w:rFonts w:hint="eastAsia" w:eastAsia="仿宋"/>
          <w:color w:val="auto"/>
          <w:kern w:val="0"/>
          <w:szCs w:val="22"/>
          <w:lang w:eastAsia="zh-CN"/>
        </w:rPr>
        <w:t>水利批〔202</w:t>
      </w:r>
      <w:r>
        <w:rPr>
          <w:rFonts w:hint="eastAsia" w:eastAsia="仿宋"/>
          <w:color w:val="auto"/>
          <w:kern w:val="0"/>
          <w:szCs w:val="22"/>
          <w:lang w:val="en-US" w:eastAsia="zh-CN"/>
        </w:rPr>
        <w:t>3</w:t>
      </w:r>
      <w:r>
        <w:rPr>
          <w:rFonts w:hint="eastAsia" w:eastAsia="仿宋"/>
          <w:color w:val="auto"/>
          <w:kern w:val="0"/>
          <w:szCs w:val="22"/>
          <w:lang w:eastAsia="zh-CN"/>
        </w:rPr>
        <w:t>〕</w:t>
      </w:r>
      <w:r>
        <w:rPr>
          <w:rFonts w:hint="eastAsia" w:eastAsia="仿宋"/>
          <w:color w:val="auto"/>
          <w:kern w:val="0"/>
          <w:szCs w:val="22"/>
          <w:lang w:val="en-US" w:eastAsia="zh-CN"/>
        </w:rPr>
        <w:t>86</w:t>
      </w:r>
      <w:r>
        <w:rPr>
          <w:rFonts w:hint="eastAsia" w:eastAsia="仿宋"/>
          <w:color w:val="auto"/>
          <w:kern w:val="0"/>
          <w:szCs w:val="22"/>
          <w:lang w:eastAsia="zh-CN"/>
        </w:rPr>
        <w:t>号）</w:t>
      </w:r>
    </w:p>
    <w:p w14:paraId="49109A42">
      <w:pPr>
        <w:widowControl/>
        <w:adjustRightInd w:val="0"/>
        <w:snapToGrid w:val="0"/>
        <w:ind w:firstLine="560"/>
        <w:rPr>
          <w:rFonts w:hint="eastAsia" w:eastAsia="仿宋"/>
          <w:color w:val="auto"/>
          <w:kern w:val="0"/>
          <w:szCs w:val="22"/>
          <w:lang w:eastAsia="zh-CN"/>
        </w:rPr>
      </w:pPr>
      <w:r>
        <w:rPr>
          <w:rFonts w:hint="eastAsia" w:eastAsia="仿宋"/>
          <w:color w:val="auto"/>
          <w:kern w:val="0"/>
          <w:szCs w:val="22"/>
        </w:rPr>
        <w:t>附件 0</w:t>
      </w:r>
      <w:r>
        <w:rPr>
          <w:rFonts w:hint="eastAsia" w:eastAsia="仿宋"/>
          <w:color w:val="auto"/>
          <w:kern w:val="0"/>
          <w:szCs w:val="22"/>
          <w:lang w:val="en-US" w:eastAsia="zh-CN"/>
        </w:rPr>
        <w:t>4</w:t>
      </w:r>
      <w:r>
        <w:rPr>
          <w:rFonts w:hint="eastAsia" w:eastAsia="仿宋"/>
          <w:color w:val="auto"/>
          <w:kern w:val="0"/>
          <w:szCs w:val="22"/>
        </w:rPr>
        <w:t xml:space="preserve"> 渣土运输单</w:t>
      </w:r>
    </w:p>
    <w:p w14:paraId="38FD906A">
      <w:pPr>
        <w:widowControl/>
        <w:adjustRightInd w:val="0"/>
        <w:snapToGrid w:val="0"/>
        <w:ind w:firstLine="560"/>
        <w:rPr>
          <w:rFonts w:hint="eastAsia" w:ascii="Times New Roman" w:hAnsi="Times New Roman" w:eastAsia="仿宋" w:cs="Times New Roman"/>
          <w:color w:val="auto"/>
          <w:kern w:val="0"/>
          <w:szCs w:val="22"/>
        </w:rPr>
      </w:pPr>
      <w:r>
        <w:rPr>
          <w:rFonts w:hint="eastAsia" w:ascii="Times New Roman" w:hAnsi="Times New Roman" w:eastAsia="仿宋" w:cs="Times New Roman"/>
          <w:color w:val="auto"/>
          <w:kern w:val="0"/>
          <w:szCs w:val="22"/>
          <w:lang w:val="en-US" w:eastAsia="zh-CN"/>
        </w:rPr>
        <w:t>附件 0</w:t>
      </w:r>
      <w:r>
        <w:rPr>
          <w:rFonts w:hint="eastAsia" w:eastAsia="仿宋" w:cs="Times New Roman"/>
          <w:color w:val="auto"/>
          <w:kern w:val="0"/>
          <w:szCs w:val="22"/>
          <w:lang w:val="en-US" w:eastAsia="zh-CN"/>
        </w:rPr>
        <w:t>5</w:t>
      </w:r>
      <w:r>
        <w:rPr>
          <w:rFonts w:hint="eastAsia" w:ascii="Times New Roman" w:hAnsi="Times New Roman" w:eastAsia="仿宋" w:cs="Times New Roman"/>
          <w:color w:val="auto"/>
          <w:kern w:val="0"/>
          <w:szCs w:val="22"/>
          <w:lang w:val="en-US" w:eastAsia="zh-CN"/>
        </w:rPr>
        <w:t xml:space="preserve"> 工程验收照片</w:t>
      </w:r>
    </w:p>
    <w:p w14:paraId="2D13035C">
      <w:pPr>
        <w:pStyle w:val="3"/>
        <w:widowControl/>
        <w:rPr>
          <w:rFonts w:eastAsia="仿宋"/>
          <w:color w:val="auto"/>
          <w:kern w:val="0"/>
          <w:szCs w:val="30"/>
        </w:rPr>
      </w:pPr>
      <w:bookmarkStart w:id="138" w:name="_Toc16488"/>
      <w:r>
        <w:rPr>
          <w:rFonts w:hint="eastAsia" w:eastAsia="仿宋"/>
          <w:color w:val="auto"/>
          <w:kern w:val="0"/>
          <w:szCs w:val="30"/>
        </w:rPr>
        <w:t>8.2 附图</w:t>
      </w:r>
      <w:bookmarkEnd w:id="138"/>
    </w:p>
    <w:p w14:paraId="5632A6C5">
      <w:pPr>
        <w:pStyle w:val="12"/>
        <w:widowControl/>
        <w:tabs>
          <w:tab w:val="right" w:leader="dot" w:pos="8561"/>
        </w:tabs>
        <w:adjustRightInd w:val="0"/>
        <w:snapToGrid w:val="0"/>
        <w:ind w:firstLine="560"/>
        <w:rPr>
          <w:rFonts w:eastAsia="仿宋"/>
          <w:color w:val="auto"/>
          <w:kern w:val="0"/>
          <w:szCs w:val="22"/>
        </w:rPr>
      </w:pPr>
      <w:r>
        <w:rPr>
          <w:rFonts w:hint="eastAsia" w:eastAsia="仿宋"/>
          <w:color w:val="auto"/>
          <w:kern w:val="0"/>
          <w:szCs w:val="22"/>
        </w:rPr>
        <w:t>附图 01 项目总</w:t>
      </w:r>
      <w:r>
        <w:rPr>
          <w:rFonts w:hint="eastAsia" w:eastAsia="仿宋"/>
          <w:color w:val="auto"/>
          <w:kern w:val="0"/>
          <w:szCs w:val="22"/>
          <w:lang w:val="en-US" w:eastAsia="zh-CN"/>
        </w:rPr>
        <w:t>平面</w:t>
      </w:r>
      <w:r>
        <w:rPr>
          <w:rFonts w:hint="eastAsia" w:eastAsia="仿宋"/>
          <w:color w:val="auto"/>
          <w:kern w:val="0"/>
          <w:szCs w:val="22"/>
        </w:rPr>
        <w:t>图</w:t>
      </w:r>
    </w:p>
    <w:p w14:paraId="11CA2906">
      <w:pPr>
        <w:pStyle w:val="12"/>
        <w:widowControl/>
        <w:tabs>
          <w:tab w:val="right" w:leader="dot" w:pos="8561"/>
        </w:tabs>
        <w:adjustRightInd w:val="0"/>
        <w:snapToGrid w:val="0"/>
        <w:ind w:firstLine="560"/>
        <w:rPr>
          <w:color w:val="auto"/>
          <w:kern w:val="0"/>
        </w:rPr>
      </w:pPr>
      <w:r>
        <w:rPr>
          <w:rFonts w:hint="eastAsia" w:eastAsia="仿宋"/>
          <w:color w:val="auto"/>
          <w:kern w:val="0"/>
          <w:szCs w:val="22"/>
        </w:rPr>
        <w:t>附图 02 水土流失防治责任范围及水土保持措施布设竣工验收图</w:t>
      </w:r>
    </w:p>
    <w:p w14:paraId="516A9F34">
      <w:pPr>
        <w:widowControl/>
        <w:adjustRightInd w:val="0"/>
        <w:snapToGrid w:val="0"/>
        <w:ind w:firstLine="560"/>
        <w:rPr>
          <w:rFonts w:eastAsia="仿宋"/>
          <w:color w:val="auto"/>
          <w:kern w:val="0"/>
          <w:szCs w:val="22"/>
        </w:rPr>
      </w:pPr>
    </w:p>
    <w:p w14:paraId="2A14069F">
      <w:pPr>
        <w:ind w:firstLine="420"/>
        <w:rPr>
          <w:rFonts w:eastAsia="宋体"/>
          <w:sz w:val="21"/>
        </w:rPr>
      </w:pPr>
    </w:p>
    <w:p w14:paraId="47875D72">
      <w:pPr>
        <w:ind w:firstLine="560"/>
      </w:pPr>
    </w:p>
    <w:p w14:paraId="615309FE">
      <w:pPr>
        <w:ind w:firstLine="560"/>
      </w:pPr>
    </w:p>
    <w:p w14:paraId="6C5F5ACF">
      <w:pPr>
        <w:ind w:firstLine="560"/>
      </w:pPr>
    </w:p>
    <w:p w14:paraId="1BDECFF2">
      <w:pPr>
        <w:ind w:firstLine="560"/>
      </w:pPr>
    </w:p>
    <w:p w14:paraId="3BF3AB61">
      <w:pPr>
        <w:tabs>
          <w:tab w:val="left" w:pos="2225"/>
        </w:tabs>
        <w:ind w:firstLine="560"/>
        <w:jc w:val="left"/>
      </w:pPr>
      <w:r>
        <w:rPr>
          <w:rFonts w:hint="eastAsia"/>
        </w:rPr>
        <w:tab/>
      </w:r>
    </w:p>
    <w:sectPr>
      <w:headerReference r:id="rId29" w:type="default"/>
      <w:headerReference r:id="rId30" w:type="even"/>
      <w:pgSz w:w="11849" w:h="16781"/>
      <w:pgMar w:top="1417" w:right="1417" w:bottom="1417" w:left="1701" w:header="567" w:footer="1077" w:gutter="0"/>
      <w:pgBorders>
        <w:top w:val="none" w:sz="0" w:space="0"/>
        <w:left w:val="none" w:sz="0" w:space="0"/>
        <w:bottom w:val="single" w:color="auto" w:sz="4" w:space="1"/>
        <w:right w:val="none" w:sz="0" w:space="0"/>
      </w:pgBorders>
      <w:pgNumType w:fmt="decimal"/>
      <w:cols w:space="0" w:num="1"/>
      <w:docGrid w:type="lines" w:linePitch="39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D005">
    <w:pPr>
      <w:pStyle w:val="10"/>
      <w:keepNext w:val="0"/>
      <w:keepLines w:val="0"/>
      <w:pageBreakBefore w:val="0"/>
      <w:widowControl w:val="0"/>
      <w:kinsoku/>
      <w:wordWrap/>
      <w:overflowPunct/>
      <w:topLinePunct w:val="0"/>
      <w:bidi w:val="0"/>
      <w:adjustRightInd/>
      <w:snapToGrid/>
      <w:ind w:firstLine="0" w:firstLineChars="0"/>
      <w:jc w:val="right"/>
      <w:textAlignment w:val="auto"/>
      <w:rPr>
        <w:rFonts w:eastAsia="宋体"/>
      </w:rPr>
    </w:pPr>
    <w:r>
      <w:rPr>
        <w:rFonts w:hint="eastAsia" w:ascii="仿宋" w:hAnsi="仿宋" w:eastAsia="仿宋" w:cs="仿宋"/>
      </w:rPr>
      <w:t>福州市勘测院有限公司</w: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13FBA6">
                          <w:pPr>
                            <w:pStyle w:val="1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13FBA6">
                    <w:pPr>
                      <w:pStyle w:val="1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A4E3D">
    <w:pPr>
      <w:pStyle w:val="10"/>
      <w:keepNext w:val="0"/>
      <w:keepLines w:val="0"/>
      <w:pageBreakBefore w:val="0"/>
      <w:widowControl w:val="0"/>
      <w:kinsoku/>
      <w:wordWrap/>
      <w:overflowPunct/>
      <w:topLinePunct w:val="0"/>
      <w:bidi w:val="0"/>
      <w:adjustRightInd/>
      <w:snapToGrid/>
      <w:ind w:firstLine="0" w:firstLineChars="0"/>
      <w:jc w:val="right"/>
      <w:textAlignment w:val="auto"/>
      <w:rPr>
        <w:rFonts w:hint="eastAsia" w:ascii="仿宋" w:hAnsi="仿宋" w:eastAsia="仿宋" w:cs="仿宋"/>
      </w:rPr>
    </w:pPr>
    <w:r>
      <w:rPr>
        <w:rFonts w:hint="eastAsia" w:ascii="仿宋" w:hAnsi="仿宋" w:eastAsia="仿宋" w:cs="仿宋"/>
      </w:rPr>
      <w:t>福州市勘测院有限公司</w:t>
    </w:r>
    <w:r>
      <w:rPr>
        <w:rFonts w:hint="eastAsia" w:ascii="仿宋" w:hAnsi="仿宋" w:eastAsia="仿宋" w:cs="仿宋"/>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0C5D1C">
                          <w:pPr>
                            <w:pStyle w:val="1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0C5D1C">
                    <w:pPr>
                      <w:pStyle w:val="1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9FC28">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ascii="仿宋" w:hAnsi="仿宋" w:eastAsia="仿宋" w:cs="仿宋"/>
      </w:rPr>
    </w:pPr>
    <w:r>
      <w:rPr>
        <w:rFonts w:hint="eastAsia" w:ascii="仿宋" w:hAnsi="仿宋" w:eastAsia="仿宋" w:cs="仿宋"/>
      </w:rPr>
      <w:t>福州市勘测院有限公司</w:t>
    </w:r>
    <w:r>
      <w:rPr>
        <w:rFonts w:ascii="仿宋" w:hAnsi="仿宋" w:eastAsia="仿宋" w:cs="仿宋"/>
      </w:rPr>
      <mc:AlternateContent>
        <mc:Choice Requires="wps">
          <w:drawing>
            <wp:anchor distT="0" distB="0" distL="114300" distR="114300" simplePos="0" relativeHeight="251659264" behindDoc="0" locked="0" layoutInCell="1" allowOverlap="1">
              <wp:simplePos x="0" y="0"/>
              <wp:positionH relativeFrom="margin">
                <wp:posOffset>2654300</wp:posOffset>
              </wp:positionH>
              <wp:positionV relativeFrom="paragraph">
                <wp:posOffset>47625</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E611DE">
                          <w:pPr>
                            <w:pStyle w:val="10"/>
                            <w:ind w:firstLine="36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9pt;margin-top:3.75pt;height:144pt;width:144pt;mso-position-horizontal-relative:margin;mso-wrap-style:none;z-index:251659264;mso-width-relative:page;mso-height-relative:page;" filled="f" stroked="f" coordsize="21600,21600" o:gfxdata="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xJflF1wAAAAkBAAAPAAAAAAAAAAEAIAAAACIAAABkcnMvZG93bnJl&#10;di54bWxQSwECFAAUAAAACACHTuJAq6zJmzcCAABxBAAADgAAAAAAAAABACAAAAAmAQAAZHJzL2Uy&#10;b0RvYy54bWxQSwUGAAAAAAYABgBZAQAAzwUAAAAA&#10;">
              <v:fill on="f" focussize="0,0"/>
              <v:stroke on="f" weight="0.5pt"/>
              <v:imagedata o:title=""/>
              <o:lock v:ext="edit" aspectratio="f"/>
              <v:textbox inset="0mm,0mm,0mm,0mm" style="mso-fit-shape-to-text:t;">
                <w:txbxContent>
                  <w:p w14:paraId="0DE611DE">
                    <w:pPr>
                      <w:pStyle w:val="10"/>
                      <w:ind w:firstLine="36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78D84">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eastAsia="宋体"/>
      </w:rPr>
    </w:pPr>
    <w:r>
      <w:rPr>
        <w:rFonts w:hint="eastAsia" w:ascii="仿宋" w:hAnsi="仿宋" w:eastAsia="仿宋" w:cs="仿宋"/>
      </w:rPr>
      <w:t>福州市勘测院有限公司</w:t>
    </w:r>
    <w:r>
      <mc:AlternateContent>
        <mc:Choice Requires="wps">
          <w:drawing>
            <wp:anchor distT="0" distB="0" distL="114300" distR="114300" simplePos="0" relativeHeight="251660288" behindDoc="0" locked="0" layoutInCell="1" allowOverlap="1">
              <wp:simplePos x="0" y="0"/>
              <wp:positionH relativeFrom="margin">
                <wp:posOffset>2644775</wp:posOffset>
              </wp:positionH>
              <wp:positionV relativeFrom="paragraph">
                <wp:posOffset>38100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ABD8B2">
                          <w:pPr>
                            <w:pStyle w:val="10"/>
                            <w:ind w:firstLine="360"/>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8.25pt;margin-top:3pt;height:144pt;width:144pt;mso-position-horizontal-relative:margin;mso-wrap-style:none;z-index:251660288;mso-width-relative:page;mso-height-relative:page;" filled="f" stroked="f" coordsize="21600,21600" o:gfxdata="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CeGqXdYAAAAJAQAADwAAAAAAAAABACAAAAAiAAAAZHJzL2Rvd25y&#10;ZXYueG1sUEsBAhQAFAAAAAgAh07iQIoeg945AgAAcQQAAA4AAAAAAAAAAQAgAAAAJQEAAGRycy9l&#10;Mm9Eb2MueG1sUEsFBgAAAAAGAAYAWQEAANAFAAAAAA==&#10;">
              <v:fill on="f" focussize="0,0"/>
              <v:stroke on="f" weight="0.5pt"/>
              <v:imagedata o:title=""/>
              <o:lock v:ext="edit" aspectratio="f"/>
              <v:textbox inset="0mm,0mm,0mm,0mm" style="mso-fit-shape-to-text:t;">
                <w:txbxContent>
                  <w:p w14:paraId="78ABD8B2">
                    <w:pPr>
                      <w:pStyle w:val="10"/>
                      <w:ind w:firstLine="360"/>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9C4DF">
    <w:pPr>
      <w:pStyle w:val="10"/>
      <w:keepNext w:val="0"/>
      <w:keepLines w:val="0"/>
      <w:pageBreakBefore w:val="0"/>
      <w:widowControl w:val="0"/>
      <w:kinsoku/>
      <w:wordWrap/>
      <w:overflowPunct/>
      <w:topLinePunct w:val="0"/>
      <w:bidi w:val="0"/>
      <w:adjustRightInd/>
      <w:snapToGrid/>
      <w:spacing w:line="240" w:lineRule="auto"/>
      <w:ind w:firstLine="0" w:firstLineChars="0"/>
      <w:jc w:val="right"/>
      <w:textAlignment w:val="auto"/>
      <w:rPr>
        <w:rFonts w:ascii="仿宋" w:hAnsi="仿宋" w:eastAsia="仿宋" w:cs="仿宋"/>
      </w:rPr>
    </w:pPr>
    <w:r>
      <w:rPr>
        <w:rFonts w:hint="eastAsia" w:ascii="仿宋" w:hAnsi="仿宋" w:eastAsia="仿宋" w:cs="仿宋"/>
      </w:rPr>
      <w:t>福州市勘测院有限公</w:t>
    </w:r>
    <w:r>
      <w:rPr>
        <w:rFonts w:ascii="仿宋" w:hAnsi="仿宋" w:eastAsia="仿宋" w:cs="仿宋"/>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685D90">
                          <w:pPr>
                            <w:pStyle w:val="10"/>
                            <w:ind w:firstLine="36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IXBE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OrK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pyFwROgIAAHEEAAAOAAAAAAAAAAEAIAAAAB8BAABkcnMvZTJvRG9j&#10;LnhtbFBLBQYAAAAABgAGAFkBAADLBQAAAAA=&#10;">
              <v:fill on="f" focussize="0,0"/>
              <v:stroke on="f" weight="0.5pt"/>
              <v:imagedata o:title=""/>
              <o:lock v:ext="edit" aspectratio="f"/>
              <v:textbox inset="0mm,0mm,0mm,0mm" style="mso-fit-shape-to-text:t;">
                <w:txbxContent>
                  <w:p w14:paraId="52685D90">
                    <w:pPr>
                      <w:pStyle w:val="10"/>
                      <w:ind w:firstLine="360"/>
                    </w:pPr>
                    <w:r>
                      <w:fldChar w:fldCharType="begin"/>
                    </w:r>
                    <w:r>
                      <w:instrText xml:space="preserve"> PAGE  \* MERGEFORMAT </w:instrText>
                    </w:r>
                    <w:r>
                      <w:fldChar w:fldCharType="separate"/>
                    </w:r>
                    <w:r>
                      <w:t>33</w:t>
                    </w:r>
                    <w:r>
                      <w:fldChar w:fldCharType="end"/>
                    </w:r>
                  </w:p>
                </w:txbxContent>
              </v:textbox>
            </v:shape>
          </w:pict>
        </mc:Fallback>
      </mc:AlternateContent>
    </w:r>
    <w:r>
      <w:rPr>
        <w:rFonts w:hint="eastAsia" w:ascii="仿宋" w:hAnsi="仿宋" w:eastAsia="仿宋" w:cs="仿宋"/>
      </w:rPr>
      <w:t>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EEC98">
    <w:pPr>
      <w:pBdr>
        <w:bottom w:val="single" w:color="auto" w:sz="4" w:space="1"/>
      </w:pBdr>
      <w:snapToGrid w:val="0"/>
      <w:ind w:firstLine="360"/>
      <w:rPr>
        <w:rFonts w:ascii="仿宋" w:hAnsi="仿宋" w:eastAsia="仿宋" w:cs="仿宋"/>
        <w:sz w:val="18"/>
        <w:szCs w:val="18"/>
      </w:rPr>
    </w:pPr>
  </w:p>
  <w:p w14:paraId="36A59680">
    <w:pPr>
      <w:pBdr>
        <w:bottom w:val="single" w:color="auto" w:sz="4" w:space="1"/>
      </w:pBdr>
      <w:snapToGrid w:val="0"/>
      <w:spacing w:line="240" w:lineRule="auto"/>
      <w:ind w:firstLine="0" w:firstLineChars="0"/>
      <w:jc w:val="left"/>
      <w:rPr>
        <w:sz w:val="18"/>
      </w:rPr>
    </w:pPr>
    <w:r>
      <w:rPr>
        <w:rFonts w:hint="eastAsia" w:eastAsia="仿宋" w:cs="Times New Roman"/>
        <w:sz w:val="18"/>
        <w:szCs w:val="18"/>
        <w:lang w:val="en-US" w:eastAsia="zh-CN"/>
      </w:rPr>
      <w:t xml:space="preserve">目录                                           </w:t>
    </w:r>
    <w:r>
      <w:rPr>
        <w:rFonts w:hint="eastAsia" w:ascii="仿宋" w:hAnsi="仿宋" w:eastAsia="仿宋" w:cs="仿宋"/>
        <w:sz w:val="18"/>
        <w:szCs w:val="18"/>
      </w:rPr>
      <w:t>福州市延安中学教育集团国福校区</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rPr>
      <w:t xml:space="preserve">                                   </w:t>
    </w:r>
    <w:r>
      <w:rPr>
        <w:rFonts w:hint="default" w:ascii="Times New Roman" w:hAnsi="Times New Roman" w:eastAsia="仿宋" w:cs="Times New Roman"/>
        <w:sz w:val="18"/>
        <w:szCs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16DA">
    <w:pPr>
      <w:pStyle w:val="11"/>
      <w:pBdr>
        <w:bottom w:val="single" w:color="auto" w:sz="4" w:space="1"/>
      </w:pBdr>
      <w:ind w:firstLine="360"/>
      <w:jc w:val="left"/>
    </w:pPr>
  </w:p>
  <w:p w14:paraId="79D7E0C5">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default" w:ascii="Times New Roman" w:hAnsi="Times New Roman" w:cs="Times New Roman"/>
        <w:szCs w:val="22"/>
      </w:rPr>
      <w:t>3 水土保持设施建设情况评估</w:t>
    </w:r>
    <w:r>
      <w:rPr>
        <w:rFonts w:hint="eastAsia" w:cs="Times New Roman"/>
        <w:szCs w:val="22"/>
        <w:lang w:val="en-US" w:eastAsia="zh-CN"/>
      </w:rPr>
      <w:t xml:space="preserve">                     </w:t>
    </w:r>
    <w:r>
      <w:rPr>
        <w:rFonts w:hint="eastAsia" w:ascii="仿宋_GB2312" w:hAnsi="仿宋_GB2312" w:cs="仿宋_GB2312"/>
        <w:lang w:eastAsia="zh-CN"/>
      </w:rPr>
      <w:t>福州市延安中学教育集团国福校区</w:t>
    </w:r>
    <w:r>
      <w:rPr>
        <w:rFonts w:hint="default" w:ascii="Times New Roman" w:hAnsi="Times New Roman" w:cs="Times New Roman"/>
      </w:rPr>
      <w:t>水土保持设施验收报告</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E84B1">
    <w:pPr>
      <w:pBdr>
        <w:bottom w:val="single" w:color="auto" w:sz="4" w:space="1"/>
      </w:pBdr>
      <w:snapToGrid w:val="0"/>
      <w:ind w:firstLine="360"/>
      <w:jc w:val="left"/>
      <w:rPr>
        <w:rFonts w:eastAsia="仿宋"/>
        <w:sz w:val="18"/>
        <w:szCs w:val="18"/>
      </w:rPr>
    </w:pPr>
  </w:p>
  <w:p w14:paraId="2EC19FFF">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default" w:ascii="Times New Roman" w:hAnsi="Times New Roman" w:eastAsia="仿宋" w:cs="Times New Roman"/>
        <w:sz w:val="18"/>
        <w:szCs w:val="18"/>
      </w:rPr>
      <w:t xml:space="preserve">4水土保持工程质量                       </w:t>
    </w:r>
    <w:r>
      <w:rPr>
        <w:rFonts w:hint="eastAsia" w:eastAsia="仿宋" w:cs="Times New Roman"/>
        <w:sz w:val="18"/>
        <w:szCs w:val="18"/>
        <w:lang w:val="en-US" w:eastAsia="zh-CN"/>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8946">
    <w:pPr>
      <w:pStyle w:val="11"/>
      <w:pBdr>
        <w:bottom w:val="single" w:color="auto" w:sz="4" w:space="1"/>
      </w:pBdr>
      <w:ind w:firstLine="360"/>
      <w:jc w:val="left"/>
    </w:pPr>
  </w:p>
  <w:p w14:paraId="008AD1F1">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distribute"/>
      <w:textAlignment w:val="auto"/>
      <w:rPr>
        <w:rFonts w:hint="default" w:ascii="Times New Roman" w:hAnsi="Times New Roman" w:cs="Times New Roman"/>
      </w:rPr>
    </w:pPr>
    <w:r>
      <w:rPr>
        <w:rFonts w:hint="eastAsia" w:cs="Times New Roman"/>
        <w:lang w:eastAsia="zh-CN"/>
      </w:rPr>
      <w:t>和鸣公馆</w:t>
    </w:r>
    <w:r>
      <w:rPr>
        <w:rFonts w:hint="default" w:ascii="Times New Roman" w:hAnsi="Times New Roman" w:cs="Times New Roman"/>
      </w:rPr>
      <w:t>水土保持设施验收报告</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szCs w:val="22"/>
      </w:rPr>
      <w:t>4  水土保持工程质量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102D">
    <w:pPr>
      <w:pBdr>
        <w:bottom w:val="single" w:color="auto" w:sz="4" w:space="1"/>
      </w:pBdr>
      <w:snapToGrid w:val="0"/>
      <w:ind w:firstLine="360"/>
      <w:jc w:val="left"/>
      <w:rPr>
        <w:rFonts w:eastAsia="仿宋"/>
        <w:sz w:val="18"/>
        <w:szCs w:val="18"/>
      </w:rPr>
    </w:pPr>
  </w:p>
  <w:p w14:paraId="17EE9606">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left"/>
      <w:textAlignment w:val="auto"/>
      <w:rPr>
        <w:sz w:val="18"/>
      </w:rPr>
    </w:pPr>
    <w:r>
      <w:rPr>
        <w:rFonts w:hint="eastAsia" w:eastAsia="仿宋"/>
        <w:sz w:val="18"/>
        <w:szCs w:val="18"/>
        <w:lang w:val="en-US" w:eastAsia="zh-CN"/>
      </w:rPr>
      <w:t>5工程初期运行情况及水土保持效果</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CDF15">
    <w:pPr>
      <w:pStyle w:val="11"/>
      <w:pBdr>
        <w:bottom w:val="single" w:color="auto" w:sz="4" w:space="1"/>
      </w:pBdr>
      <w:ind w:firstLine="360"/>
      <w:jc w:val="left"/>
    </w:pPr>
  </w:p>
  <w:p w14:paraId="58744A91">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eastAsia" w:eastAsia="仿宋"/>
        <w:sz w:val="18"/>
        <w:szCs w:val="18"/>
      </w:rPr>
      <w:t>5 工程初期运行及水土保持效果</w:t>
    </w:r>
    <w:r>
      <w:rPr>
        <w:rFonts w:hint="eastAsia"/>
        <w:szCs w:val="22"/>
        <w:lang w:val="en-US" w:eastAsia="zh-CN"/>
      </w:rPr>
      <w:t xml:space="preserve">                   福州市延安中学教育集团国福校区</w:t>
    </w:r>
    <w:r>
      <w:t>水土保持设施验收报告</w:t>
    </w:r>
    <w:r>
      <w:rPr>
        <w:rFonts w:hint="eastAsia"/>
        <w:lang w:val="en-US" w:eastAsia="zh-CN"/>
      </w:rPr>
      <w:t xml:space="preserve">       </w:t>
    </w:r>
    <w:r>
      <w:rPr>
        <w:rFonts w:hint="eastAsia"/>
      </w:rP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7421A">
    <w:pPr>
      <w:pBdr>
        <w:bottom w:val="single" w:color="auto" w:sz="4" w:space="1"/>
      </w:pBdr>
      <w:snapToGrid w:val="0"/>
      <w:ind w:firstLine="360"/>
      <w:jc w:val="left"/>
      <w:rPr>
        <w:rFonts w:eastAsia="仿宋"/>
        <w:sz w:val="18"/>
        <w:szCs w:val="18"/>
      </w:rPr>
    </w:pPr>
  </w:p>
  <w:p w14:paraId="0B50A12F">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eastAsia" w:eastAsia="仿宋"/>
        <w:sz w:val="18"/>
        <w:szCs w:val="18"/>
      </w:rPr>
      <w:t>5 工程初期运行及水土保持效果</w:t>
    </w:r>
    <w:r>
      <w:rPr>
        <w:rFonts w:eastAsia="仿宋"/>
        <w:sz w:val="18"/>
        <w:szCs w:val="18"/>
      </w:rPr>
      <w:t xml:space="preserve">    </w:t>
    </w:r>
    <w:r>
      <w:rPr>
        <w:rFonts w:hint="eastAsia" w:ascii="仿宋" w:hAnsi="仿宋" w:eastAsia="仿宋" w:cs="仿宋"/>
        <w:sz w:val="18"/>
        <w:szCs w:val="18"/>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ED77">
    <w:pPr>
      <w:pBdr>
        <w:bottom w:val="single" w:color="auto" w:sz="4" w:space="1"/>
      </w:pBdr>
      <w:snapToGrid w:val="0"/>
      <w:ind w:firstLine="360"/>
      <w:jc w:val="left"/>
      <w:rPr>
        <w:rFonts w:eastAsia="仿宋"/>
        <w:sz w:val="18"/>
        <w:szCs w:val="18"/>
      </w:rPr>
    </w:pPr>
  </w:p>
  <w:p w14:paraId="7FC01EF8">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left"/>
      <w:textAlignment w:val="auto"/>
      <w:rPr>
        <w:sz w:val="18"/>
      </w:rPr>
    </w:pPr>
    <w:r>
      <w:rPr>
        <w:rFonts w:hint="eastAsia" w:eastAsia="仿宋"/>
        <w:sz w:val="18"/>
        <w:szCs w:val="18"/>
      </w:rPr>
      <w:t>6 水土保持管理</w:t>
    </w:r>
    <w:r>
      <w:rPr>
        <w:rFonts w:eastAsia="仿宋"/>
        <w:sz w:val="18"/>
        <w:szCs w:val="18"/>
      </w:rPr>
      <w:t xml:space="preserve">    </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495FC">
    <w:pPr>
      <w:pStyle w:val="11"/>
      <w:pBdr>
        <w:bottom w:val="single" w:color="auto" w:sz="4" w:space="1"/>
      </w:pBdr>
      <w:ind w:firstLine="360"/>
      <w:jc w:val="left"/>
    </w:pPr>
  </w:p>
  <w:p w14:paraId="0C1566D9">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distribute"/>
      <w:textAlignment w:val="auto"/>
    </w:pPr>
    <w:r>
      <w:rPr>
        <w:rFonts w:hint="eastAsia" w:eastAsia="仿宋"/>
        <w:sz w:val="18"/>
        <w:szCs w:val="18"/>
      </w:rPr>
      <w:t>6 水土保持管理</w:t>
    </w:r>
    <w:r>
      <w:rPr>
        <w:rFonts w:eastAsia="仿宋"/>
        <w:sz w:val="18"/>
        <w:szCs w:val="18"/>
      </w:rPr>
      <w:t xml:space="preserve">    </w:t>
    </w:r>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土保持设施验收报告</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9EE53">
    <w:pPr>
      <w:pBdr>
        <w:bottom w:val="single" w:color="auto" w:sz="4" w:space="1"/>
      </w:pBdr>
      <w:snapToGrid w:val="0"/>
      <w:ind w:firstLine="360"/>
      <w:rPr>
        <w:rFonts w:eastAsia="仿宋"/>
        <w:sz w:val="18"/>
        <w:szCs w:val="18"/>
      </w:rPr>
    </w:pPr>
  </w:p>
  <w:p w14:paraId="25776220">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default" w:ascii="Times New Roman" w:hAnsi="Times New Roman" w:eastAsia="仿宋" w:cs="Times New Roman"/>
        <w:sz w:val="18"/>
        <w:szCs w:val="18"/>
      </w:rPr>
      <w:t xml:space="preserve">7 结论及阶段工作安排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szCs w:val="18"/>
      </w:rPr>
      <w:t xml:space="preserve"> </w:t>
    </w:r>
    <w:r>
      <w:rPr>
        <w:rFonts w:hint="eastAsia"/>
        <w:sz w:val="18"/>
        <w:szCs w:val="18"/>
      </w:rPr>
      <w:t xml:space="preserve">   </w:t>
    </w:r>
    <w:r>
      <w:rPr>
        <w:rFonts w:hint="eastAsia"/>
        <w:sz w:val="18"/>
      </w:rPr>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FE91">
    <w:pPr>
      <w:pStyle w:val="11"/>
      <w:pBdr>
        <w:bottom w:val="single" w:color="auto" w:sz="4" w:space="1"/>
      </w:pBdr>
      <w:ind w:firstLine="360"/>
      <w:jc w:val="left"/>
    </w:pPr>
  </w:p>
  <w:p w14:paraId="231A4FD3">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distribute"/>
      <w:textAlignment w:val="auto"/>
    </w:pPr>
    <w:r>
      <w:rPr>
        <w:rFonts w:hint="eastAsia" w:ascii="仿宋_GB2312" w:hAnsi="仿宋_GB2312" w:cs="仿宋_GB2312"/>
        <w:lang w:eastAsia="zh-CN"/>
      </w:rPr>
      <w:t>和鸣公馆</w:t>
    </w:r>
    <w:r>
      <w:t>水土保持设施验收报告</w:t>
    </w:r>
    <w:r>
      <w:rPr>
        <w:rFonts w:hint="eastAsia"/>
        <w:lang w:val="en-US" w:eastAsia="zh-CN"/>
      </w:rPr>
      <w:t xml:space="preserve">       </w:t>
    </w:r>
    <w:r>
      <w:rPr>
        <w:rFonts w:hint="eastAsia"/>
      </w:rPr>
      <w:t xml:space="preserve">                    7 结论及阶段工作安排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337A0">
    <w:pPr>
      <w:pStyle w:val="11"/>
      <w:ind w:firstLine="360"/>
      <w:rPr>
        <w:rFonts w:ascii="仿宋" w:hAnsi="仿宋" w:eastAsia="仿宋" w:cs="仿宋"/>
      </w:rPr>
    </w:pPr>
    <w:r>
      <w:rPr>
        <w:rFonts w:hint="eastAsia" w:ascii="仿宋" w:hAnsi="仿宋" w:eastAsia="仿宋" w:cs="仿宋"/>
      </w:rPr>
      <w:t xml:space="preserve">                    </w:t>
    </w:r>
  </w:p>
  <w:p w14:paraId="063ECD07">
    <w:pPr>
      <w:pStyle w:val="11"/>
      <w:keepNext w:val="0"/>
      <w:keepLines w:val="0"/>
      <w:pageBreakBefore w:val="0"/>
      <w:widowControl w:val="0"/>
      <w:kinsoku/>
      <w:wordWrap/>
      <w:overflowPunct/>
      <w:topLinePunct w:val="0"/>
      <w:bidi w:val="0"/>
      <w:adjustRightInd/>
      <w:snapToGrid/>
      <w:spacing w:line="240" w:lineRule="auto"/>
      <w:ind w:firstLine="0" w:firstLineChars="0"/>
      <w:jc w:val="distribute"/>
      <w:textAlignment w:val="auto"/>
    </w:pPr>
    <w:r>
      <w:rPr>
        <w:rFonts w:hint="eastAsia" w:eastAsia="仿宋" w:cs="Times New Roman"/>
        <w:lang w:val="en-US" w:eastAsia="zh-CN"/>
      </w:rPr>
      <w:t>目录</w:t>
    </w:r>
    <w:r>
      <w:rPr>
        <w:rFonts w:hint="default" w:ascii="Times New Roman" w:hAnsi="Times New Roman" w:eastAsia="仿宋" w:cs="Times New Roman"/>
      </w:rPr>
      <w:t xml:space="preserve">                                           </w:t>
    </w:r>
    <w:r>
      <w:rPr>
        <w:rFonts w:hint="eastAsia" w:ascii="Times New Roman" w:hAnsi="Times New Roman" w:eastAsia="仿宋" w:cs="Times New Roman"/>
        <w:sz w:val="18"/>
        <w:szCs w:val="18"/>
        <w:lang w:eastAsia="zh-CN"/>
      </w:rPr>
      <w:t>福州市延安中学教育集团国福校区</w:t>
    </w:r>
    <w:r>
      <w:rPr>
        <w:rFonts w:hint="default" w:ascii="Times New Roman" w:hAnsi="Times New Roman" w:eastAsia="仿宋" w:cs="Times New Roman"/>
      </w:rPr>
      <w:t xml:space="preserve">水土保持设施验收报告 </w:t>
    </w:r>
    <w:r>
      <w:rPr>
        <w:rFonts w:hint="eastAsia" w:ascii="仿宋" w:hAnsi="仿宋" w:eastAsia="仿宋" w:cs="仿宋"/>
      </w:rPr>
      <w:t xml:space="preserve">                                                       </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79B64">
    <w:pPr>
      <w:pBdr>
        <w:bottom w:val="single" w:color="auto" w:sz="4" w:space="1"/>
      </w:pBdr>
      <w:snapToGrid w:val="0"/>
      <w:ind w:firstLine="360"/>
      <w:rPr>
        <w:rFonts w:eastAsia="仿宋"/>
        <w:sz w:val="18"/>
        <w:szCs w:val="18"/>
      </w:rPr>
    </w:pPr>
  </w:p>
  <w:p w14:paraId="1C1068E2">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rFonts w:hint="default" w:eastAsia="仿宋_GB2312"/>
        <w:sz w:val="18"/>
        <w:highlight w:val="cyan"/>
        <w:lang w:val="en-US" w:eastAsia="zh-CN"/>
      </w:rPr>
    </w:pPr>
    <w:r>
      <w:rPr>
        <w:rFonts w:eastAsia="仿宋"/>
        <w:sz w:val="18"/>
        <w:szCs w:val="18"/>
      </w:rPr>
      <w:t>8</w:t>
    </w:r>
    <w:r>
      <w:rPr>
        <w:rFonts w:hint="eastAsia" w:ascii="仿宋" w:hAnsi="仿宋" w:eastAsia="仿宋" w:cs="仿宋"/>
        <w:sz w:val="18"/>
        <w:szCs w:val="18"/>
      </w:rPr>
      <w:t xml:space="preserve"> 附件及附图                                </w:t>
    </w:r>
    <w:r>
      <w:rPr>
        <w:rFonts w:hint="eastAsia" w:ascii="仿宋" w:hAnsi="仿宋" w:eastAsia="仿宋" w:cs="仿宋"/>
        <w:sz w:val="18"/>
        <w:szCs w:val="18"/>
        <w:lang w:val="en-US" w:eastAsia="zh-CN"/>
      </w:rPr>
      <w:t xml:space="preserve">                     </w:t>
    </w:r>
    <w:r>
      <w:rPr>
        <w:rFonts w:hint="eastAsia" w:ascii="仿宋" w:hAnsi="仿宋" w:eastAsia="仿宋" w:cs="仿宋"/>
        <w:sz w:val="18"/>
        <w:szCs w:val="18"/>
      </w:rPr>
      <w:t xml:space="preserve">    </w:t>
    </w:r>
    <w:r>
      <w:rPr>
        <w:rFonts w:hint="eastAsia" w:ascii="仿宋" w:hAnsi="仿宋" w:eastAsia="仿宋" w:cs="仿宋"/>
        <w:sz w:val="18"/>
        <w:szCs w:val="18"/>
        <w:lang w:eastAsia="zh-CN"/>
      </w:rPr>
      <w:t>和鸣公馆</w:t>
    </w:r>
    <w:r>
      <w:rPr>
        <w:rFonts w:hint="eastAsia" w:ascii="仿宋" w:hAnsi="仿宋" w:eastAsia="仿宋" w:cs="仿宋"/>
        <w:sz w:val="18"/>
        <w:szCs w:val="18"/>
      </w:rPr>
      <w:t>水土保持设施验收报告</w:t>
    </w:r>
    <w:r>
      <w:rPr>
        <w:rFonts w:hint="eastAsia"/>
        <w:sz w:val="18"/>
        <w:szCs w:val="18"/>
      </w:rPr>
      <w:t xml:space="preserve"> </w:t>
    </w:r>
    <w:r>
      <w:rPr>
        <w:rFonts w:hint="eastAsia"/>
        <w:sz w:val="18"/>
        <w:szCs w:val="18"/>
        <w:lang w:val="en-US" w:eastAsia="zh-CN"/>
      </w:rP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48EDB">
    <w:pPr>
      <w:pStyle w:val="11"/>
      <w:pBdr>
        <w:bottom w:val="single" w:color="auto" w:sz="4" w:space="1"/>
      </w:pBdr>
      <w:ind w:firstLine="360"/>
      <w:jc w:val="right"/>
    </w:pPr>
  </w:p>
  <w:p w14:paraId="59CF1B9E">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default" w:ascii="Times New Roman" w:hAnsi="Times New Roman" w:cs="Times New Roman"/>
        <w:szCs w:val="22"/>
      </w:rPr>
      <w:t>8 附件及附图</w:t>
    </w:r>
    <w:r>
      <w:rPr>
        <w:rFonts w:hint="eastAsia" w:cs="Times New Roman"/>
        <w:szCs w:val="22"/>
        <w:lang w:val="en-US" w:eastAsia="zh-CN"/>
      </w:rPr>
      <w:t xml:space="preserve">                                   </w:t>
    </w:r>
    <w:r>
      <w:rPr>
        <w:rFonts w:hint="eastAsia" w:eastAsia="仿宋" w:cs="Times New Roman"/>
        <w:lang w:eastAsia="zh-CN"/>
      </w:rPr>
      <w:t>福州市延安中学教育集团国福校区</w:t>
    </w:r>
    <w:r>
      <w:rPr>
        <w:rFonts w:hint="default" w:ascii="Times New Roman" w:hAnsi="Times New Roman" w:cs="Times New Roman"/>
      </w:rPr>
      <w:t xml:space="preserve">水土保持设施验收报告                                    </w:t>
    </w:r>
    <w:r>
      <w:rPr>
        <w:szCs w:val="22"/>
      </w:rPr>
      <w:t xml:space="preserve">                 </w:t>
    </w:r>
    <w:r>
      <w:rPr>
        <w:rFonts w:hint="eastAsia"/>
        <w:szCs w:val="22"/>
      </w:rPr>
      <w:t xml:space="preserve"> </w:t>
    </w:r>
    <w:r>
      <w:rPr>
        <w:szCs w:val="22"/>
      </w:rPr>
      <w:t xml:space="preserve"> </w:t>
    </w:r>
    <w:r>
      <w:rPr>
        <w:rFonts w:hint="eastAsia"/>
        <w:szCs w:val="22"/>
      </w:rPr>
      <w:t xml:space="preserve">           </w:t>
    </w:r>
    <w:r>
      <w:rPr>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A441D">
    <w:pPr>
      <w:pBdr>
        <w:bottom w:val="single" w:color="auto" w:sz="4" w:space="1"/>
      </w:pBdr>
      <w:snapToGrid w:val="0"/>
      <w:ind w:firstLine="360"/>
      <w:rPr>
        <w:rFonts w:ascii="仿宋" w:hAnsi="仿宋" w:eastAsia="仿宋" w:cs="仿宋"/>
        <w:sz w:val="18"/>
        <w:szCs w:val="18"/>
      </w:rPr>
    </w:pPr>
  </w:p>
  <w:p w14:paraId="7BD53D7F">
    <w:pPr>
      <w:pBdr>
        <w:bottom w:val="single" w:color="auto" w:sz="4" w:space="1"/>
      </w:pBdr>
      <w:snapToGrid w:val="0"/>
      <w:spacing w:line="240" w:lineRule="auto"/>
      <w:ind w:firstLine="0" w:firstLineChars="0"/>
      <w:jc w:val="left"/>
      <w:rPr>
        <w:sz w:val="18"/>
      </w:rPr>
    </w:pPr>
    <w:r>
      <w:rPr>
        <w:rFonts w:hint="default" w:ascii="Times New Roman" w:hAnsi="Times New Roman" w:eastAsia="仿宋" w:cs="Times New Roman"/>
        <w:sz w:val="18"/>
        <w:szCs w:val="18"/>
      </w:rPr>
      <w:t>水土保持设施验收特性表</w:t>
    </w:r>
    <w:r>
      <w:rPr>
        <w:rFonts w:hint="eastAsia" w:eastAsia="仿宋" w:cs="Times New Roman"/>
        <w:sz w:val="18"/>
        <w:szCs w:val="18"/>
        <w:lang w:val="en-US" w:eastAsia="zh-CN"/>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rPr>
      <w:t xml:space="preserve">                             </w:t>
    </w:r>
    <w:r>
      <w:rPr>
        <w:rFonts w:hint="default" w:ascii="Times New Roman" w:hAnsi="Times New Roman" w:eastAsia="仿宋" w:cs="Times New Roman"/>
        <w:sz w:val="18"/>
        <w:szCs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5586">
    <w:pPr>
      <w:pStyle w:val="11"/>
      <w:ind w:firstLine="360"/>
      <w:rPr>
        <w:rFonts w:ascii="仿宋" w:hAnsi="仿宋" w:eastAsia="仿宋" w:cs="仿宋"/>
      </w:rPr>
    </w:pPr>
    <w:r>
      <w:rPr>
        <w:rFonts w:hint="eastAsia" w:ascii="仿宋" w:hAnsi="仿宋" w:eastAsia="仿宋" w:cs="仿宋"/>
      </w:rPr>
      <w:t xml:space="preserve">                    </w:t>
    </w:r>
  </w:p>
  <w:p w14:paraId="648C3B4A">
    <w:pPr>
      <w:pStyle w:val="11"/>
      <w:keepNext w:val="0"/>
      <w:keepLines w:val="0"/>
      <w:pageBreakBefore w:val="0"/>
      <w:widowControl w:val="0"/>
      <w:kinsoku/>
      <w:wordWrap/>
      <w:overflowPunct/>
      <w:topLinePunct w:val="0"/>
      <w:bidi w:val="0"/>
      <w:adjustRightInd/>
      <w:snapToGrid/>
      <w:spacing w:line="240" w:lineRule="auto"/>
      <w:ind w:firstLine="0" w:firstLineChars="0"/>
      <w:jc w:val="distribute"/>
      <w:textAlignment w:val="auto"/>
    </w:pPr>
    <w:r>
      <w:rPr>
        <w:rFonts w:hint="default" w:ascii="Times New Roman" w:hAnsi="Times New Roman" w:eastAsia="仿宋" w:cs="Times New Roman"/>
      </w:rPr>
      <w:t xml:space="preserve">水土保持设施验收特性表                         </w:t>
    </w:r>
    <w:r>
      <w:rPr>
        <w:rFonts w:hint="eastAsia" w:eastAsia="仿宋" w:cs="Times New Roman"/>
        <w:lang w:eastAsia="zh-CN"/>
      </w:rPr>
      <w:t>福州市延安中学教育集团国福校区</w:t>
    </w:r>
    <w:r>
      <w:rPr>
        <w:rFonts w:hint="default" w:ascii="Times New Roman" w:hAnsi="Times New Roman" w:eastAsia="仿宋" w:cs="Times New Roman"/>
      </w:rPr>
      <w:t xml:space="preserve">水土保持设施验收报告 </w:t>
    </w:r>
    <w:r>
      <w:rPr>
        <w:rFonts w:hint="eastAsia" w:ascii="仿宋" w:hAnsi="仿宋" w:eastAsia="仿宋" w:cs="仿宋"/>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1CAA6">
    <w:pPr>
      <w:pBdr>
        <w:bottom w:val="single" w:color="auto" w:sz="4" w:space="1"/>
      </w:pBdr>
      <w:snapToGrid w:val="0"/>
      <w:ind w:firstLine="360"/>
      <w:rPr>
        <w:rFonts w:ascii="仿宋" w:hAnsi="仿宋" w:eastAsia="仿宋" w:cs="仿宋"/>
        <w:sz w:val="18"/>
        <w:szCs w:val="18"/>
      </w:rPr>
    </w:pPr>
  </w:p>
  <w:p w14:paraId="0868FC29">
    <w:pPr>
      <w:pBdr>
        <w:bottom w:val="single" w:color="auto" w:sz="4" w:space="1"/>
      </w:pBdr>
      <w:snapToGrid w:val="0"/>
      <w:spacing w:line="240" w:lineRule="auto"/>
      <w:ind w:firstLine="0" w:firstLineChars="0"/>
      <w:jc w:val="left"/>
      <w:rPr>
        <w:sz w:val="18"/>
      </w:rPr>
    </w:pPr>
    <w:r>
      <w:rPr>
        <w:rFonts w:hint="default" w:ascii="Times New Roman" w:hAnsi="Times New Roman" w:eastAsia="仿宋" w:cs="Times New Roman"/>
        <w:sz w:val="18"/>
        <w:szCs w:val="18"/>
      </w:rPr>
      <w:t>1 项目及项目区概况</w:t>
    </w:r>
    <w:r>
      <w:rPr>
        <w:rFonts w:hint="eastAsia" w:eastAsia="仿宋" w:cs="Times New Roman"/>
        <w:sz w:val="18"/>
        <w:szCs w:val="18"/>
        <w:lang w:val="en-US" w:eastAsia="zh-CN"/>
      </w:rPr>
      <w:t xml:space="preserve">                             </w:t>
    </w:r>
    <w:r>
      <w:rPr>
        <w:rFonts w:hint="eastAsia" w:eastAsia="仿宋" w:cs="Times New Roman"/>
        <w:sz w:val="18"/>
        <w:szCs w:val="18"/>
        <w:lang w:eastAsia="zh-CN"/>
      </w:rPr>
      <w:t>福州市延安中学教育集团国福校区</w:t>
    </w:r>
    <w:r>
      <w:rPr>
        <w:rFonts w:hint="default" w:ascii="Times New Roman" w:hAnsi="Times New Roman" w:eastAsia="仿宋" w:cs="Times New Roman"/>
        <w:sz w:val="18"/>
        <w:szCs w:val="18"/>
      </w:rPr>
      <w:t>水土保持设施验收报告</w:t>
    </w:r>
    <w:r>
      <w:rPr>
        <w:rFonts w:hint="default" w:ascii="Times New Roman" w:hAnsi="Times New Roman" w:cs="Times New Roman"/>
        <w:sz w:val="18"/>
      </w:rPr>
      <w:t xml:space="preserve">                             </w:t>
    </w:r>
    <w:r>
      <w:rPr>
        <w:rFonts w:hint="default" w:ascii="Times New Roman" w:hAnsi="Times New Roman" w:eastAsia="仿宋" w:cs="Times New Roman"/>
        <w:sz w:val="18"/>
        <w:szCs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CD6C0">
    <w:pPr>
      <w:pStyle w:val="11"/>
      <w:ind w:firstLine="360"/>
      <w:rPr>
        <w:rFonts w:ascii="仿宋" w:hAnsi="仿宋" w:eastAsia="仿宋" w:cs="仿宋"/>
      </w:rPr>
    </w:pPr>
    <w:r>
      <w:rPr>
        <w:rFonts w:hint="eastAsia" w:ascii="仿宋" w:hAnsi="仿宋" w:eastAsia="仿宋" w:cs="仿宋"/>
      </w:rPr>
      <w:t xml:space="preserve">                    </w:t>
    </w:r>
  </w:p>
  <w:p w14:paraId="6E6A1E4A">
    <w:pPr>
      <w:pStyle w:val="11"/>
      <w:keepNext w:val="0"/>
      <w:keepLines w:val="0"/>
      <w:pageBreakBefore w:val="0"/>
      <w:widowControl w:val="0"/>
      <w:kinsoku/>
      <w:wordWrap/>
      <w:overflowPunct/>
      <w:topLinePunct w:val="0"/>
      <w:bidi w:val="0"/>
      <w:adjustRightInd/>
      <w:snapToGrid/>
      <w:spacing w:line="240" w:lineRule="auto"/>
      <w:ind w:firstLine="0" w:firstLineChars="0"/>
      <w:jc w:val="distribute"/>
      <w:textAlignment w:val="auto"/>
    </w:pPr>
    <w:r>
      <w:rPr>
        <w:rFonts w:hint="default" w:ascii="Times New Roman" w:hAnsi="Times New Roman" w:eastAsia="仿宋" w:cs="Times New Roman"/>
      </w:rPr>
      <w:t>1 项目及项目区概况                            福州市延安中学教育集团国福校区水土保持设施验收报告</w:t>
    </w:r>
    <w:r>
      <w:rPr>
        <w:rFonts w:hint="eastAsia" w:ascii="仿宋" w:hAnsi="仿宋" w:eastAsia="仿宋" w:cs="仿宋"/>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E377D">
    <w:pPr>
      <w:pBdr>
        <w:bottom w:val="single" w:color="auto" w:sz="4" w:space="1"/>
      </w:pBdr>
      <w:snapToGrid w:val="0"/>
      <w:ind w:firstLine="360"/>
      <w:rPr>
        <w:rFonts w:ascii="仿宋" w:hAnsi="仿宋" w:eastAsia="仿宋" w:cs="仿宋"/>
        <w:sz w:val="18"/>
        <w:szCs w:val="18"/>
      </w:rPr>
    </w:pPr>
  </w:p>
  <w:p w14:paraId="28C91017">
    <w:pPr>
      <w:pBdr>
        <w:bottom w:val="single" w:color="auto" w:sz="4" w:space="1"/>
      </w:pBdr>
      <w:snapToGrid w:val="0"/>
      <w:spacing w:line="240" w:lineRule="auto"/>
      <w:ind w:firstLine="0" w:firstLineChars="0"/>
      <w:jc w:val="distribute"/>
      <w:rPr>
        <w:sz w:val="18"/>
      </w:rPr>
    </w:pPr>
    <w:r>
      <w:rPr>
        <w:rFonts w:hint="default" w:ascii="Times New Roman" w:hAnsi="Times New Roman" w:eastAsia="仿宋" w:cs="Times New Roman"/>
        <w:sz w:val="18"/>
        <w:szCs w:val="18"/>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STYLEREF "标题 1"  \* MERGEFORMAT </w:instrText>
    </w:r>
    <w:r>
      <w:rPr>
        <w:rFonts w:hint="default" w:ascii="Times New Roman" w:hAnsi="Times New Roman" w:cs="Times New Roman"/>
      </w:rPr>
      <w:fldChar w:fldCharType="separate"/>
    </w:r>
    <w:r>
      <w:rPr>
        <w:rFonts w:hint="default" w:ascii="Times New Roman" w:hAnsi="Times New Roman" w:cs="Times New Roman"/>
      </w:rPr>
      <w:t>3  水土保持设施建设情况评估</w:t>
    </w:r>
    <w:r>
      <w:rPr>
        <w:rFonts w:hint="default" w:ascii="Times New Roman" w:hAnsi="Times New Roman" w:eastAsia="仿宋" w:cs="Times New Roman"/>
        <w:sz w:val="18"/>
        <w:szCs w:val="18"/>
      </w:rPr>
      <w:fldChar w:fldCharType="end"/>
    </w:r>
    <w:r>
      <w:rPr>
        <w:rFonts w:hint="eastAsia" w:eastAsia="仿宋" w:cs="Times New Roman"/>
        <w:sz w:val="18"/>
        <w:szCs w:val="18"/>
        <w:lang w:val="en-US" w:eastAsia="zh-CN"/>
      </w:rPr>
      <w:t xml:space="preserve">                     </w:t>
    </w:r>
    <w:r>
      <w:rPr>
        <w:rFonts w:hint="eastAsia" w:ascii="仿宋" w:hAnsi="仿宋" w:eastAsia="仿宋" w:cs="仿宋"/>
        <w:sz w:val="18"/>
        <w:szCs w:val="18"/>
        <w:lang w:eastAsia="zh-CN"/>
      </w:rPr>
      <w:t>福州市延安中学教育集团国福校区</w:t>
    </w:r>
    <w:r>
      <w:rPr>
        <w:rFonts w:hint="eastAsia" w:ascii="仿宋" w:hAnsi="仿宋" w:eastAsia="仿宋" w:cs="仿宋"/>
        <w:sz w:val="18"/>
        <w:szCs w:val="18"/>
      </w:rPr>
      <w:t>水土保持设施验收报告</w:t>
    </w:r>
    <w:r>
      <w:rPr>
        <w:rFonts w:hint="eastAsia"/>
        <w:sz w:val="18"/>
      </w:rPr>
      <w:t xml:space="preserve">                           </w:t>
    </w:r>
    <w:r>
      <w:rPr>
        <w:rFonts w:hint="eastAsia" w:ascii="仿宋" w:hAnsi="仿宋" w:eastAsia="仿宋" w:cs="仿宋"/>
        <w:sz w:val="18"/>
        <w:szCs w:val="18"/>
      </w:rPr>
      <w:t xml:space="preserve">                                                    </w:t>
    </w:r>
    <w:r>
      <w:rPr>
        <w:rFonts w:hint="eastAsia"/>
        <w:sz w:val="18"/>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7DC8E">
    <w:pPr>
      <w:pStyle w:val="11"/>
      <w:pBdr>
        <w:bottom w:val="single" w:color="auto" w:sz="4" w:space="1"/>
      </w:pBdr>
      <w:ind w:firstLine="360"/>
      <w:jc w:val="right"/>
    </w:pPr>
  </w:p>
  <w:p w14:paraId="5CF42FFA">
    <w:pPr>
      <w:pStyle w:val="11"/>
      <w:keepNext w:val="0"/>
      <w:keepLines w:val="0"/>
      <w:pageBreakBefore w:val="0"/>
      <w:widowControl w:val="0"/>
      <w:pBdr>
        <w:bottom w:val="single" w:color="auto" w:sz="4" w:space="1"/>
      </w:pBdr>
      <w:kinsoku/>
      <w:wordWrap/>
      <w:overflowPunct/>
      <w:topLinePunct w:val="0"/>
      <w:bidi w:val="0"/>
      <w:adjustRightInd/>
      <w:snapToGrid/>
      <w:spacing w:line="240" w:lineRule="auto"/>
      <w:ind w:firstLine="0" w:firstLineChars="0"/>
      <w:jc w:val="left"/>
      <w:textAlignment w:val="auto"/>
    </w:pPr>
    <w:r>
      <w:rPr>
        <w:rFonts w:hint="eastAsia" w:ascii="仿宋" w:hAnsi="仿宋" w:eastAsia="仿宋" w:cs="仿宋"/>
        <w:lang w:val="en-US" w:eastAsia="zh-CN"/>
      </w:rPr>
      <w:t>2</w:t>
    </w:r>
    <w:r>
      <w:rPr>
        <w:rFonts w:hint="eastAsia"/>
      </w:rPr>
      <w:t>水土保持方案和设计情况</w:t>
    </w:r>
    <w:r>
      <w:rPr>
        <w:rFonts w:hint="eastAsia"/>
        <w:lang w:val="en-US" w:eastAsia="zh-CN"/>
      </w:rPr>
      <w:t xml:space="preserve">                       </w:t>
    </w:r>
    <w:r>
      <w:rPr>
        <w:rFonts w:hint="eastAsia" w:ascii="仿宋" w:hAnsi="仿宋" w:eastAsia="仿宋" w:cs="仿宋"/>
        <w:lang w:eastAsia="zh-CN"/>
      </w:rPr>
      <w:t>福州市延安中学教育集团国福校区</w:t>
    </w:r>
    <w:r>
      <w:t>水土保持设施验收报告</w:t>
    </w:r>
    <w:r>
      <w:rPr>
        <w:rFonts w:hint="eastAsia"/>
      </w:rPr>
      <w:t xml:space="preserve">                      </w:t>
    </w:r>
    <w:r>
      <w:rPr>
        <w:szCs w:val="22"/>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ABBD8">
    <w:pPr>
      <w:pBdr>
        <w:bottom w:val="single" w:color="auto" w:sz="4" w:space="1"/>
      </w:pBdr>
      <w:snapToGrid w:val="0"/>
      <w:ind w:firstLine="360"/>
      <w:jc w:val="left"/>
      <w:rPr>
        <w:rFonts w:eastAsia="仿宋"/>
        <w:sz w:val="18"/>
        <w:szCs w:val="18"/>
      </w:rPr>
    </w:pPr>
  </w:p>
  <w:p w14:paraId="65D476B3">
    <w:pPr>
      <w:keepNext w:val="0"/>
      <w:keepLines w:val="0"/>
      <w:pageBreakBefore w:val="0"/>
      <w:widowControl w:val="0"/>
      <w:pBdr>
        <w:bottom w:val="single" w:color="auto" w:sz="4" w:space="1"/>
      </w:pBdr>
      <w:kinsoku/>
      <w:wordWrap/>
      <w:overflowPunct/>
      <w:topLinePunct w:val="0"/>
      <w:bidi w:val="0"/>
      <w:adjustRightInd/>
      <w:snapToGrid w:val="0"/>
      <w:spacing w:line="240" w:lineRule="auto"/>
      <w:ind w:firstLine="0" w:firstLineChars="0"/>
      <w:jc w:val="distribute"/>
      <w:textAlignment w:val="auto"/>
      <w:rPr>
        <w:sz w:val="18"/>
      </w:rPr>
    </w:pPr>
    <w:r>
      <w:rPr>
        <w:rFonts w:hint="default" w:ascii="Times New Roman" w:hAnsi="Times New Roman" w:eastAsia="仿宋" w:cs="Times New Roman"/>
        <w:sz w:val="18"/>
        <w:szCs w:val="18"/>
      </w:rPr>
      <w:t xml:space="preserve">3 水土保持设施建设情况评估                     </w:t>
    </w:r>
    <w:r>
      <w:rPr>
        <w:rFonts w:hint="eastAsia" w:eastAsia="仿宋" w:cs="Times New Roman"/>
        <w:sz w:val="18"/>
        <w:szCs w:val="18"/>
        <w:lang w:eastAsia="zh-CN"/>
      </w:rPr>
      <w:t>福州市延安中学教育集团国福校区</w:t>
    </w:r>
    <w:r>
      <w:rPr>
        <w:rFonts w:hint="eastAsia" w:eastAsia="仿宋" w:cs="Times New Roman"/>
        <w:sz w:val="18"/>
        <w:szCs w:val="18"/>
        <w:lang w:val="en-US" w:eastAsia="zh-CN"/>
      </w:rPr>
      <w:t>水</w:t>
    </w:r>
    <w:r>
      <w:rPr>
        <w:rFonts w:hint="default" w:ascii="Times New Roman" w:hAnsi="Times New Roman" w:eastAsia="仿宋" w:cs="Times New Roman"/>
        <w:sz w:val="18"/>
        <w:szCs w:val="18"/>
      </w:rPr>
      <w:t>土保持设施验收报告</w:t>
    </w:r>
    <w:r>
      <w:rPr>
        <w:rFonts w:hint="eastAsia"/>
        <w:sz w:val="18"/>
        <w:szCs w:val="18"/>
      </w:rPr>
      <w:t xml:space="preserve">    </w:t>
    </w:r>
    <w:r>
      <w:rPr>
        <w:rFonts w:hint="eastAsia"/>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9E53A"/>
    <w:multiLevelType w:val="singleLevel"/>
    <w:tmpl w:val="0BB9E53A"/>
    <w:lvl w:ilvl="0" w:tentative="0">
      <w:start w:val="1"/>
      <w:numFmt w:val="decimal"/>
      <w:suff w:val="nothing"/>
      <w:lvlText w:val="%1、"/>
      <w:lvlJc w:val="left"/>
      <w:rPr>
        <w:rFonts w:hint="default"/>
        <w:color w:val="auto"/>
      </w:rPr>
    </w:lvl>
  </w:abstractNum>
  <w:abstractNum w:abstractNumId="1">
    <w:nsid w:val="39B94D40"/>
    <w:multiLevelType w:val="singleLevel"/>
    <w:tmpl w:val="39B94D40"/>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evenAndOddHeaders w:val="1"/>
  <w:drawingGridHorizontalSpacing w:val="105"/>
  <w:drawingGridVerticalSpacing w:val="199"/>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hMmJjNmM2MWYxOGM1OTZiOWJjNmIyN2E4YmMzOGMifQ=="/>
  </w:docVars>
  <w:rsids>
    <w:rsidRoot w:val="3A9B773F"/>
    <w:rsid w:val="0000303A"/>
    <w:rsid w:val="000061B4"/>
    <w:rsid w:val="00017330"/>
    <w:rsid w:val="0002720A"/>
    <w:rsid w:val="00035B70"/>
    <w:rsid w:val="00036F22"/>
    <w:rsid w:val="00041646"/>
    <w:rsid w:val="0004566D"/>
    <w:rsid w:val="00053195"/>
    <w:rsid w:val="00057660"/>
    <w:rsid w:val="00062E6D"/>
    <w:rsid w:val="00073E63"/>
    <w:rsid w:val="000866F0"/>
    <w:rsid w:val="000926D4"/>
    <w:rsid w:val="00094A7F"/>
    <w:rsid w:val="000A1415"/>
    <w:rsid w:val="000A152C"/>
    <w:rsid w:val="000A5347"/>
    <w:rsid w:val="000B3510"/>
    <w:rsid w:val="000B6364"/>
    <w:rsid w:val="000C5D69"/>
    <w:rsid w:val="000C6824"/>
    <w:rsid w:val="000C6FBE"/>
    <w:rsid w:val="000C733A"/>
    <w:rsid w:val="000D5BBE"/>
    <w:rsid w:val="000E1C61"/>
    <w:rsid w:val="000E5F31"/>
    <w:rsid w:val="000F3F36"/>
    <w:rsid w:val="000F40E4"/>
    <w:rsid w:val="00103D4F"/>
    <w:rsid w:val="00104B19"/>
    <w:rsid w:val="00105E56"/>
    <w:rsid w:val="001164A4"/>
    <w:rsid w:val="00124F2D"/>
    <w:rsid w:val="001336A8"/>
    <w:rsid w:val="001371F3"/>
    <w:rsid w:val="0014182E"/>
    <w:rsid w:val="00143EA4"/>
    <w:rsid w:val="00162141"/>
    <w:rsid w:val="00165AB8"/>
    <w:rsid w:val="00166EC5"/>
    <w:rsid w:val="00166F3D"/>
    <w:rsid w:val="001717B3"/>
    <w:rsid w:val="0017323C"/>
    <w:rsid w:val="00177A02"/>
    <w:rsid w:val="001844A0"/>
    <w:rsid w:val="00196515"/>
    <w:rsid w:val="001A1723"/>
    <w:rsid w:val="001A1A3A"/>
    <w:rsid w:val="001A6D87"/>
    <w:rsid w:val="001B1442"/>
    <w:rsid w:val="001C0873"/>
    <w:rsid w:val="001C4551"/>
    <w:rsid w:val="001C6AEE"/>
    <w:rsid w:val="001D224A"/>
    <w:rsid w:val="001E46DC"/>
    <w:rsid w:val="001E58D7"/>
    <w:rsid w:val="001F28C0"/>
    <w:rsid w:val="001F42A8"/>
    <w:rsid w:val="00204B9B"/>
    <w:rsid w:val="00207273"/>
    <w:rsid w:val="00214414"/>
    <w:rsid w:val="00227298"/>
    <w:rsid w:val="00235998"/>
    <w:rsid w:val="0024013A"/>
    <w:rsid w:val="0024135D"/>
    <w:rsid w:val="00260B2E"/>
    <w:rsid w:val="00261078"/>
    <w:rsid w:val="00264785"/>
    <w:rsid w:val="00265290"/>
    <w:rsid w:val="00277BEB"/>
    <w:rsid w:val="00282C13"/>
    <w:rsid w:val="00284A24"/>
    <w:rsid w:val="00291FCC"/>
    <w:rsid w:val="00292E2B"/>
    <w:rsid w:val="00293EC9"/>
    <w:rsid w:val="00294C90"/>
    <w:rsid w:val="002A4DEF"/>
    <w:rsid w:val="002A5A74"/>
    <w:rsid w:val="002B50B4"/>
    <w:rsid w:val="002C0409"/>
    <w:rsid w:val="002C04E4"/>
    <w:rsid w:val="002C5860"/>
    <w:rsid w:val="002D1085"/>
    <w:rsid w:val="002D6F63"/>
    <w:rsid w:val="002E7809"/>
    <w:rsid w:val="002F3B00"/>
    <w:rsid w:val="00304CDA"/>
    <w:rsid w:val="00325245"/>
    <w:rsid w:val="0033574F"/>
    <w:rsid w:val="003432E0"/>
    <w:rsid w:val="00346696"/>
    <w:rsid w:val="003676DD"/>
    <w:rsid w:val="00373908"/>
    <w:rsid w:val="00375B49"/>
    <w:rsid w:val="003847B6"/>
    <w:rsid w:val="003874FE"/>
    <w:rsid w:val="0039076E"/>
    <w:rsid w:val="00392888"/>
    <w:rsid w:val="00395BE6"/>
    <w:rsid w:val="003B2E5A"/>
    <w:rsid w:val="003B37B2"/>
    <w:rsid w:val="003C2174"/>
    <w:rsid w:val="003C3ADB"/>
    <w:rsid w:val="003C520D"/>
    <w:rsid w:val="003C6D9F"/>
    <w:rsid w:val="003D17DE"/>
    <w:rsid w:val="0040238D"/>
    <w:rsid w:val="00411090"/>
    <w:rsid w:val="0041373D"/>
    <w:rsid w:val="00423430"/>
    <w:rsid w:val="004238EA"/>
    <w:rsid w:val="004278FB"/>
    <w:rsid w:val="00434073"/>
    <w:rsid w:val="00440575"/>
    <w:rsid w:val="00445947"/>
    <w:rsid w:val="00452DDF"/>
    <w:rsid w:val="00452EC4"/>
    <w:rsid w:val="004573DC"/>
    <w:rsid w:val="004673D0"/>
    <w:rsid w:val="0047563C"/>
    <w:rsid w:val="00476CDC"/>
    <w:rsid w:val="00476FAE"/>
    <w:rsid w:val="00481544"/>
    <w:rsid w:val="00482C78"/>
    <w:rsid w:val="0048408E"/>
    <w:rsid w:val="0049778B"/>
    <w:rsid w:val="004A39E1"/>
    <w:rsid w:val="004B00E5"/>
    <w:rsid w:val="004B7358"/>
    <w:rsid w:val="004C1D20"/>
    <w:rsid w:val="004D028F"/>
    <w:rsid w:val="004D161F"/>
    <w:rsid w:val="004E0104"/>
    <w:rsid w:val="004E5F5D"/>
    <w:rsid w:val="004F396B"/>
    <w:rsid w:val="004F3E91"/>
    <w:rsid w:val="004F79C2"/>
    <w:rsid w:val="0051435C"/>
    <w:rsid w:val="00514AF7"/>
    <w:rsid w:val="0051553D"/>
    <w:rsid w:val="00515E66"/>
    <w:rsid w:val="00516F8D"/>
    <w:rsid w:val="005216B7"/>
    <w:rsid w:val="005274B9"/>
    <w:rsid w:val="005301E8"/>
    <w:rsid w:val="0053163C"/>
    <w:rsid w:val="00533462"/>
    <w:rsid w:val="00546444"/>
    <w:rsid w:val="00546C15"/>
    <w:rsid w:val="00551C58"/>
    <w:rsid w:val="00553EF0"/>
    <w:rsid w:val="005549FA"/>
    <w:rsid w:val="00563DAB"/>
    <w:rsid w:val="005660C6"/>
    <w:rsid w:val="005836D9"/>
    <w:rsid w:val="0059035A"/>
    <w:rsid w:val="005912C7"/>
    <w:rsid w:val="00593733"/>
    <w:rsid w:val="005B3827"/>
    <w:rsid w:val="005B68A8"/>
    <w:rsid w:val="005B69DE"/>
    <w:rsid w:val="005C3215"/>
    <w:rsid w:val="005D4BB0"/>
    <w:rsid w:val="005E196D"/>
    <w:rsid w:val="005E328B"/>
    <w:rsid w:val="005E7E72"/>
    <w:rsid w:val="005F2BE1"/>
    <w:rsid w:val="005F5896"/>
    <w:rsid w:val="006038B7"/>
    <w:rsid w:val="00604D59"/>
    <w:rsid w:val="00613D1C"/>
    <w:rsid w:val="0062352D"/>
    <w:rsid w:val="00627B5E"/>
    <w:rsid w:val="00633EEC"/>
    <w:rsid w:val="00637134"/>
    <w:rsid w:val="006452DE"/>
    <w:rsid w:val="00651F3A"/>
    <w:rsid w:val="006523D9"/>
    <w:rsid w:val="006570CA"/>
    <w:rsid w:val="00661E20"/>
    <w:rsid w:val="00665E27"/>
    <w:rsid w:val="00667B89"/>
    <w:rsid w:val="0067069C"/>
    <w:rsid w:val="00681E8F"/>
    <w:rsid w:val="006901F1"/>
    <w:rsid w:val="00693EF6"/>
    <w:rsid w:val="00695576"/>
    <w:rsid w:val="006A2A12"/>
    <w:rsid w:val="006A583C"/>
    <w:rsid w:val="006B5D01"/>
    <w:rsid w:val="006B65AF"/>
    <w:rsid w:val="006C0AD8"/>
    <w:rsid w:val="006C1059"/>
    <w:rsid w:val="006C3AE4"/>
    <w:rsid w:val="006D14EF"/>
    <w:rsid w:val="007100B9"/>
    <w:rsid w:val="00717F66"/>
    <w:rsid w:val="00720DFD"/>
    <w:rsid w:val="00720F5C"/>
    <w:rsid w:val="00722259"/>
    <w:rsid w:val="00733B99"/>
    <w:rsid w:val="00735046"/>
    <w:rsid w:val="00743788"/>
    <w:rsid w:val="00747503"/>
    <w:rsid w:val="00756E90"/>
    <w:rsid w:val="007635D0"/>
    <w:rsid w:val="00763A59"/>
    <w:rsid w:val="00780136"/>
    <w:rsid w:val="007874E7"/>
    <w:rsid w:val="00787DFF"/>
    <w:rsid w:val="00792B1D"/>
    <w:rsid w:val="0079431A"/>
    <w:rsid w:val="007951C7"/>
    <w:rsid w:val="00797A53"/>
    <w:rsid w:val="007A00BB"/>
    <w:rsid w:val="007A1867"/>
    <w:rsid w:val="007B36A0"/>
    <w:rsid w:val="007B6456"/>
    <w:rsid w:val="007C7C53"/>
    <w:rsid w:val="007D0C63"/>
    <w:rsid w:val="007D1983"/>
    <w:rsid w:val="007D7F1B"/>
    <w:rsid w:val="007E59F3"/>
    <w:rsid w:val="007E677E"/>
    <w:rsid w:val="007F487A"/>
    <w:rsid w:val="007F6F7D"/>
    <w:rsid w:val="00815A0C"/>
    <w:rsid w:val="00816A4A"/>
    <w:rsid w:val="008206B9"/>
    <w:rsid w:val="008209E9"/>
    <w:rsid w:val="00820FA5"/>
    <w:rsid w:val="008268D2"/>
    <w:rsid w:val="008329D6"/>
    <w:rsid w:val="00836289"/>
    <w:rsid w:val="008371A8"/>
    <w:rsid w:val="00842B58"/>
    <w:rsid w:val="00861499"/>
    <w:rsid w:val="00865929"/>
    <w:rsid w:val="008679F1"/>
    <w:rsid w:val="00870085"/>
    <w:rsid w:val="00874D55"/>
    <w:rsid w:val="00893DAD"/>
    <w:rsid w:val="00897033"/>
    <w:rsid w:val="00897271"/>
    <w:rsid w:val="008A50EE"/>
    <w:rsid w:val="008A5C22"/>
    <w:rsid w:val="008A7F0F"/>
    <w:rsid w:val="008B3674"/>
    <w:rsid w:val="008C1843"/>
    <w:rsid w:val="008C43CF"/>
    <w:rsid w:val="008C52B9"/>
    <w:rsid w:val="008C64B7"/>
    <w:rsid w:val="008E1BAC"/>
    <w:rsid w:val="008E415C"/>
    <w:rsid w:val="008F4CFC"/>
    <w:rsid w:val="00917349"/>
    <w:rsid w:val="009305B0"/>
    <w:rsid w:val="0094115E"/>
    <w:rsid w:val="00952A66"/>
    <w:rsid w:val="0095502A"/>
    <w:rsid w:val="00955A37"/>
    <w:rsid w:val="0095624D"/>
    <w:rsid w:val="00957B74"/>
    <w:rsid w:val="00961D84"/>
    <w:rsid w:val="00980DA6"/>
    <w:rsid w:val="009850EC"/>
    <w:rsid w:val="0098730A"/>
    <w:rsid w:val="00990C3A"/>
    <w:rsid w:val="00993913"/>
    <w:rsid w:val="009941B8"/>
    <w:rsid w:val="009A7157"/>
    <w:rsid w:val="009B659A"/>
    <w:rsid w:val="009C074B"/>
    <w:rsid w:val="009C1467"/>
    <w:rsid w:val="009C57E3"/>
    <w:rsid w:val="009D3C6F"/>
    <w:rsid w:val="009D5B61"/>
    <w:rsid w:val="009E0FEF"/>
    <w:rsid w:val="009E6466"/>
    <w:rsid w:val="009F00C4"/>
    <w:rsid w:val="009F1141"/>
    <w:rsid w:val="009F6C82"/>
    <w:rsid w:val="00A020BE"/>
    <w:rsid w:val="00A024C1"/>
    <w:rsid w:val="00A1277E"/>
    <w:rsid w:val="00A50EB0"/>
    <w:rsid w:val="00A54F84"/>
    <w:rsid w:val="00A57FA9"/>
    <w:rsid w:val="00A657BA"/>
    <w:rsid w:val="00A66629"/>
    <w:rsid w:val="00A75B55"/>
    <w:rsid w:val="00A77604"/>
    <w:rsid w:val="00A85E27"/>
    <w:rsid w:val="00A8727D"/>
    <w:rsid w:val="00A90B3F"/>
    <w:rsid w:val="00A97D40"/>
    <w:rsid w:val="00AA15C8"/>
    <w:rsid w:val="00AB2E56"/>
    <w:rsid w:val="00AB744B"/>
    <w:rsid w:val="00AC24AF"/>
    <w:rsid w:val="00AC58D9"/>
    <w:rsid w:val="00AD0787"/>
    <w:rsid w:val="00AD1754"/>
    <w:rsid w:val="00AD2EC7"/>
    <w:rsid w:val="00AD7064"/>
    <w:rsid w:val="00AF4BD3"/>
    <w:rsid w:val="00AF735C"/>
    <w:rsid w:val="00B2055B"/>
    <w:rsid w:val="00B306F3"/>
    <w:rsid w:val="00B30AF7"/>
    <w:rsid w:val="00B408BD"/>
    <w:rsid w:val="00B41CA0"/>
    <w:rsid w:val="00B43B9C"/>
    <w:rsid w:val="00B4571E"/>
    <w:rsid w:val="00B541C3"/>
    <w:rsid w:val="00B57ECB"/>
    <w:rsid w:val="00B63FB5"/>
    <w:rsid w:val="00B73F17"/>
    <w:rsid w:val="00B82D2A"/>
    <w:rsid w:val="00B82F8F"/>
    <w:rsid w:val="00B97D63"/>
    <w:rsid w:val="00BA06F6"/>
    <w:rsid w:val="00BB3BF9"/>
    <w:rsid w:val="00BB593A"/>
    <w:rsid w:val="00BC0002"/>
    <w:rsid w:val="00BC4A36"/>
    <w:rsid w:val="00BC579F"/>
    <w:rsid w:val="00BD0B3A"/>
    <w:rsid w:val="00BD242B"/>
    <w:rsid w:val="00BD2D61"/>
    <w:rsid w:val="00BD3048"/>
    <w:rsid w:val="00BE5AD2"/>
    <w:rsid w:val="00BF0B60"/>
    <w:rsid w:val="00BF35BA"/>
    <w:rsid w:val="00C026E7"/>
    <w:rsid w:val="00C03AB7"/>
    <w:rsid w:val="00C07498"/>
    <w:rsid w:val="00C274BB"/>
    <w:rsid w:val="00C3214E"/>
    <w:rsid w:val="00C51EFC"/>
    <w:rsid w:val="00C5327E"/>
    <w:rsid w:val="00C61C00"/>
    <w:rsid w:val="00C66492"/>
    <w:rsid w:val="00C67C1F"/>
    <w:rsid w:val="00C70F8D"/>
    <w:rsid w:val="00C71CD7"/>
    <w:rsid w:val="00CA2A05"/>
    <w:rsid w:val="00CB44A9"/>
    <w:rsid w:val="00CC19D1"/>
    <w:rsid w:val="00CC6CAD"/>
    <w:rsid w:val="00CD3733"/>
    <w:rsid w:val="00CD4034"/>
    <w:rsid w:val="00CD6168"/>
    <w:rsid w:val="00CE19BB"/>
    <w:rsid w:val="00CE1EB4"/>
    <w:rsid w:val="00CF3DFE"/>
    <w:rsid w:val="00D01C72"/>
    <w:rsid w:val="00D029B9"/>
    <w:rsid w:val="00D11F66"/>
    <w:rsid w:val="00D16EA7"/>
    <w:rsid w:val="00D203B7"/>
    <w:rsid w:val="00D23B0E"/>
    <w:rsid w:val="00D318FD"/>
    <w:rsid w:val="00D3585D"/>
    <w:rsid w:val="00D36C89"/>
    <w:rsid w:val="00D500EB"/>
    <w:rsid w:val="00D517F5"/>
    <w:rsid w:val="00D55A82"/>
    <w:rsid w:val="00D63837"/>
    <w:rsid w:val="00D65A18"/>
    <w:rsid w:val="00D70094"/>
    <w:rsid w:val="00D85422"/>
    <w:rsid w:val="00D92F73"/>
    <w:rsid w:val="00D95027"/>
    <w:rsid w:val="00DB1736"/>
    <w:rsid w:val="00DD37FB"/>
    <w:rsid w:val="00DE7185"/>
    <w:rsid w:val="00E00F87"/>
    <w:rsid w:val="00E17EB1"/>
    <w:rsid w:val="00E21D4C"/>
    <w:rsid w:val="00E247D9"/>
    <w:rsid w:val="00E32A79"/>
    <w:rsid w:val="00E37158"/>
    <w:rsid w:val="00E40A69"/>
    <w:rsid w:val="00E52103"/>
    <w:rsid w:val="00E52832"/>
    <w:rsid w:val="00E602D6"/>
    <w:rsid w:val="00E615D4"/>
    <w:rsid w:val="00E71567"/>
    <w:rsid w:val="00E76CE4"/>
    <w:rsid w:val="00E779AB"/>
    <w:rsid w:val="00E810D2"/>
    <w:rsid w:val="00E86CC8"/>
    <w:rsid w:val="00ED7334"/>
    <w:rsid w:val="00EE3731"/>
    <w:rsid w:val="00EE721C"/>
    <w:rsid w:val="00F12620"/>
    <w:rsid w:val="00F12780"/>
    <w:rsid w:val="00F1327B"/>
    <w:rsid w:val="00F23A29"/>
    <w:rsid w:val="00F32179"/>
    <w:rsid w:val="00F55B2F"/>
    <w:rsid w:val="00F64BF2"/>
    <w:rsid w:val="00F671AB"/>
    <w:rsid w:val="00F75061"/>
    <w:rsid w:val="00F77F6F"/>
    <w:rsid w:val="00F81588"/>
    <w:rsid w:val="00F9070B"/>
    <w:rsid w:val="00F95EA9"/>
    <w:rsid w:val="00FA0049"/>
    <w:rsid w:val="00FA5E37"/>
    <w:rsid w:val="00FA7DF8"/>
    <w:rsid w:val="00FB3EA2"/>
    <w:rsid w:val="00FC4080"/>
    <w:rsid w:val="00FC5807"/>
    <w:rsid w:val="00FC6517"/>
    <w:rsid w:val="00FD41A9"/>
    <w:rsid w:val="00FD5A1C"/>
    <w:rsid w:val="00FD7C25"/>
    <w:rsid w:val="00FE0664"/>
    <w:rsid w:val="00FE5ABA"/>
    <w:rsid w:val="011C4462"/>
    <w:rsid w:val="015D30FB"/>
    <w:rsid w:val="01DD62C7"/>
    <w:rsid w:val="025D0772"/>
    <w:rsid w:val="02647ECA"/>
    <w:rsid w:val="02727FCD"/>
    <w:rsid w:val="03345563"/>
    <w:rsid w:val="034100FD"/>
    <w:rsid w:val="034B4827"/>
    <w:rsid w:val="034C436C"/>
    <w:rsid w:val="03AD2C8B"/>
    <w:rsid w:val="03CD3DB4"/>
    <w:rsid w:val="03EF3615"/>
    <w:rsid w:val="04064EC2"/>
    <w:rsid w:val="040B0504"/>
    <w:rsid w:val="0421100A"/>
    <w:rsid w:val="04366E94"/>
    <w:rsid w:val="04494D70"/>
    <w:rsid w:val="047E4EA0"/>
    <w:rsid w:val="04920AD1"/>
    <w:rsid w:val="04D64495"/>
    <w:rsid w:val="05144C41"/>
    <w:rsid w:val="052236D9"/>
    <w:rsid w:val="05231CCE"/>
    <w:rsid w:val="054A4ADB"/>
    <w:rsid w:val="05654766"/>
    <w:rsid w:val="05C23638"/>
    <w:rsid w:val="05D32D57"/>
    <w:rsid w:val="05F4280A"/>
    <w:rsid w:val="05F477B7"/>
    <w:rsid w:val="06504BCC"/>
    <w:rsid w:val="0662604A"/>
    <w:rsid w:val="068B34CC"/>
    <w:rsid w:val="06D975F4"/>
    <w:rsid w:val="06E471B4"/>
    <w:rsid w:val="072E0BBE"/>
    <w:rsid w:val="075365D4"/>
    <w:rsid w:val="07A27794"/>
    <w:rsid w:val="081A2399"/>
    <w:rsid w:val="08260398"/>
    <w:rsid w:val="08924FBA"/>
    <w:rsid w:val="0894259F"/>
    <w:rsid w:val="08DF474E"/>
    <w:rsid w:val="094A1349"/>
    <w:rsid w:val="0963712E"/>
    <w:rsid w:val="098347ED"/>
    <w:rsid w:val="098E697D"/>
    <w:rsid w:val="0990705F"/>
    <w:rsid w:val="09AF066C"/>
    <w:rsid w:val="09AF6DB9"/>
    <w:rsid w:val="09BD1FF5"/>
    <w:rsid w:val="09BD5B4E"/>
    <w:rsid w:val="09CF5C49"/>
    <w:rsid w:val="09EC76F0"/>
    <w:rsid w:val="0A12604E"/>
    <w:rsid w:val="0A553EF0"/>
    <w:rsid w:val="0A5711E0"/>
    <w:rsid w:val="0A881693"/>
    <w:rsid w:val="0A9260DC"/>
    <w:rsid w:val="0AAB1D7A"/>
    <w:rsid w:val="0AB20D9B"/>
    <w:rsid w:val="0AC376D8"/>
    <w:rsid w:val="0AF7279C"/>
    <w:rsid w:val="0B09292C"/>
    <w:rsid w:val="0B145E14"/>
    <w:rsid w:val="0B8C2A38"/>
    <w:rsid w:val="0BAE7D93"/>
    <w:rsid w:val="0BCF40CA"/>
    <w:rsid w:val="0BE81B6C"/>
    <w:rsid w:val="0BFE2325"/>
    <w:rsid w:val="0C6A47BD"/>
    <w:rsid w:val="0D2953F3"/>
    <w:rsid w:val="0D3B0F11"/>
    <w:rsid w:val="0D4B5661"/>
    <w:rsid w:val="0D6F71DE"/>
    <w:rsid w:val="0D7E3112"/>
    <w:rsid w:val="0D920500"/>
    <w:rsid w:val="0E005E1D"/>
    <w:rsid w:val="0E036ECE"/>
    <w:rsid w:val="0E263B22"/>
    <w:rsid w:val="0E27754E"/>
    <w:rsid w:val="0E344BF5"/>
    <w:rsid w:val="0E3E5DB4"/>
    <w:rsid w:val="0E5F43CE"/>
    <w:rsid w:val="0E6866FA"/>
    <w:rsid w:val="0EAB4048"/>
    <w:rsid w:val="0EDB1BB4"/>
    <w:rsid w:val="0EF40879"/>
    <w:rsid w:val="0F186ECE"/>
    <w:rsid w:val="0F460C3A"/>
    <w:rsid w:val="0FA33BC8"/>
    <w:rsid w:val="0FCB0E56"/>
    <w:rsid w:val="0FE31D18"/>
    <w:rsid w:val="0FED14FF"/>
    <w:rsid w:val="102B0C09"/>
    <w:rsid w:val="102F747D"/>
    <w:rsid w:val="103F25D4"/>
    <w:rsid w:val="108B5575"/>
    <w:rsid w:val="10CA4745"/>
    <w:rsid w:val="11002C57"/>
    <w:rsid w:val="11040814"/>
    <w:rsid w:val="111B2393"/>
    <w:rsid w:val="11715F91"/>
    <w:rsid w:val="118A4FEB"/>
    <w:rsid w:val="11F8472A"/>
    <w:rsid w:val="11FA6FE5"/>
    <w:rsid w:val="11FC4B10"/>
    <w:rsid w:val="1244188F"/>
    <w:rsid w:val="12463148"/>
    <w:rsid w:val="127538C0"/>
    <w:rsid w:val="12DA219C"/>
    <w:rsid w:val="131A0BDE"/>
    <w:rsid w:val="138320CF"/>
    <w:rsid w:val="13C97EA0"/>
    <w:rsid w:val="13CC6566"/>
    <w:rsid w:val="13D3241D"/>
    <w:rsid w:val="143141AE"/>
    <w:rsid w:val="144625E6"/>
    <w:rsid w:val="14537217"/>
    <w:rsid w:val="149E5021"/>
    <w:rsid w:val="14BF26D4"/>
    <w:rsid w:val="14C377BA"/>
    <w:rsid w:val="14CC510F"/>
    <w:rsid w:val="15001E0B"/>
    <w:rsid w:val="15486F09"/>
    <w:rsid w:val="155D7127"/>
    <w:rsid w:val="15C82BB7"/>
    <w:rsid w:val="15D63EA2"/>
    <w:rsid w:val="15D85D5E"/>
    <w:rsid w:val="15F358D2"/>
    <w:rsid w:val="163C61AD"/>
    <w:rsid w:val="16826C5E"/>
    <w:rsid w:val="16AA1C32"/>
    <w:rsid w:val="16C170B6"/>
    <w:rsid w:val="16D45201"/>
    <w:rsid w:val="16E03D01"/>
    <w:rsid w:val="174524E3"/>
    <w:rsid w:val="174560C4"/>
    <w:rsid w:val="175677B4"/>
    <w:rsid w:val="175C28F5"/>
    <w:rsid w:val="1772285A"/>
    <w:rsid w:val="17C9251C"/>
    <w:rsid w:val="180D3662"/>
    <w:rsid w:val="187B7036"/>
    <w:rsid w:val="187E2A36"/>
    <w:rsid w:val="18964625"/>
    <w:rsid w:val="194A5E5E"/>
    <w:rsid w:val="19652991"/>
    <w:rsid w:val="19794A83"/>
    <w:rsid w:val="1981715C"/>
    <w:rsid w:val="19DB3BBC"/>
    <w:rsid w:val="19EB350A"/>
    <w:rsid w:val="1A847D5A"/>
    <w:rsid w:val="1A9E700F"/>
    <w:rsid w:val="1B533543"/>
    <w:rsid w:val="1B583D5B"/>
    <w:rsid w:val="1B8A19FB"/>
    <w:rsid w:val="1BA10B65"/>
    <w:rsid w:val="1BB15E18"/>
    <w:rsid w:val="1BF965F5"/>
    <w:rsid w:val="1BFD4B04"/>
    <w:rsid w:val="1C0A54DC"/>
    <w:rsid w:val="1C1976A6"/>
    <w:rsid w:val="1C364358"/>
    <w:rsid w:val="1C5E10A7"/>
    <w:rsid w:val="1C665EC7"/>
    <w:rsid w:val="1CA07E05"/>
    <w:rsid w:val="1CEA73EB"/>
    <w:rsid w:val="1CFA1553"/>
    <w:rsid w:val="1D494C03"/>
    <w:rsid w:val="1DDB2B3E"/>
    <w:rsid w:val="1DF83D4E"/>
    <w:rsid w:val="1E1E54FA"/>
    <w:rsid w:val="1E37520E"/>
    <w:rsid w:val="1E546A94"/>
    <w:rsid w:val="1E840BEE"/>
    <w:rsid w:val="1E953F78"/>
    <w:rsid w:val="1EB41679"/>
    <w:rsid w:val="1EF073C2"/>
    <w:rsid w:val="1EF3212F"/>
    <w:rsid w:val="1F46731E"/>
    <w:rsid w:val="1F514F39"/>
    <w:rsid w:val="1F6D0ED5"/>
    <w:rsid w:val="1FA857BA"/>
    <w:rsid w:val="1FC42D93"/>
    <w:rsid w:val="1FCD7F69"/>
    <w:rsid w:val="2015256D"/>
    <w:rsid w:val="20663E58"/>
    <w:rsid w:val="20A54E81"/>
    <w:rsid w:val="20C6696F"/>
    <w:rsid w:val="20CD5E11"/>
    <w:rsid w:val="20D502B5"/>
    <w:rsid w:val="21306387"/>
    <w:rsid w:val="21B43FE4"/>
    <w:rsid w:val="21E2061A"/>
    <w:rsid w:val="21F3416D"/>
    <w:rsid w:val="22161BF1"/>
    <w:rsid w:val="22340080"/>
    <w:rsid w:val="22445E38"/>
    <w:rsid w:val="22596EC8"/>
    <w:rsid w:val="22720BBD"/>
    <w:rsid w:val="229D13BB"/>
    <w:rsid w:val="22AE6254"/>
    <w:rsid w:val="22CA3A53"/>
    <w:rsid w:val="22F12135"/>
    <w:rsid w:val="23506E8E"/>
    <w:rsid w:val="23554FDE"/>
    <w:rsid w:val="236C4C78"/>
    <w:rsid w:val="237A3BF6"/>
    <w:rsid w:val="239B0A54"/>
    <w:rsid w:val="23D04194"/>
    <w:rsid w:val="23DB108C"/>
    <w:rsid w:val="24015792"/>
    <w:rsid w:val="24055CB7"/>
    <w:rsid w:val="243520F6"/>
    <w:rsid w:val="24990E21"/>
    <w:rsid w:val="24B94956"/>
    <w:rsid w:val="24D52AFB"/>
    <w:rsid w:val="254E07EE"/>
    <w:rsid w:val="255C35BC"/>
    <w:rsid w:val="2568086F"/>
    <w:rsid w:val="257A3CCC"/>
    <w:rsid w:val="257D66A6"/>
    <w:rsid w:val="25A55ECC"/>
    <w:rsid w:val="25DA3B35"/>
    <w:rsid w:val="26197629"/>
    <w:rsid w:val="265713EE"/>
    <w:rsid w:val="267A397C"/>
    <w:rsid w:val="26831293"/>
    <w:rsid w:val="2686222A"/>
    <w:rsid w:val="273E402F"/>
    <w:rsid w:val="27401E3E"/>
    <w:rsid w:val="274B1CDD"/>
    <w:rsid w:val="27791DF5"/>
    <w:rsid w:val="27911208"/>
    <w:rsid w:val="27D74B17"/>
    <w:rsid w:val="285D43A8"/>
    <w:rsid w:val="28A050BD"/>
    <w:rsid w:val="28DB4E64"/>
    <w:rsid w:val="294044D4"/>
    <w:rsid w:val="299059E8"/>
    <w:rsid w:val="29A97A0E"/>
    <w:rsid w:val="29BB33BB"/>
    <w:rsid w:val="29C547C7"/>
    <w:rsid w:val="2A235597"/>
    <w:rsid w:val="2A677365"/>
    <w:rsid w:val="2A687D32"/>
    <w:rsid w:val="2A753791"/>
    <w:rsid w:val="2AA71DD9"/>
    <w:rsid w:val="2B190EE3"/>
    <w:rsid w:val="2BD705ED"/>
    <w:rsid w:val="2C2910E1"/>
    <w:rsid w:val="2C3F6090"/>
    <w:rsid w:val="2C51000C"/>
    <w:rsid w:val="2C525D1F"/>
    <w:rsid w:val="2C6A6EAC"/>
    <w:rsid w:val="2C723060"/>
    <w:rsid w:val="2C797DD7"/>
    <w:rsid w:val="2CEA31C5"/>
    <w:rsid w:val="2CEE1769"/>
    <w:rsid w:val="2CEF1EB2"/>
    <w:rsid w:val="2D415526"/>
    <w:rsid w:val="2DA4291C"/>
    <w:rsid w:val="2DB62C4F"/>
    <w:rsid w:val="2DD60246"/>
    <w:rsid w:val="2DD65871"/>
    <w:rsid w:val="2DDC5DC3"/>
    <w:rsid w:val="2DE90C31"/>
    <w:rsid w:val="2E692C30"/>
    <w:rsid w:val="2E725808"/>
    <w:rsid w:val="2E7D2211"/>
    <w:rsid w:val="2ED00FD2"/>
    <w:rsid w:val="2F032DCE"/>
    <w:rsid w:val="2F107F1D"/>
    <w:rsid w:val="2F240A1A"/>
    <w:rsid w:val="2F555ADD"/>
    <w:rsid w:val="2F8430B8"/>
    <w:rsid w:val="2F86427D"/>
    <w:rsid w:val="2F8C2907"/>
    <w:rsid w:val="2F8D3018"/>
    <w:rsid w:val="2F922CB6"/>
    <w:rsid w:val="2FBF0937"/>
    <w:rsid w:val="2FC3732F"/>
    <w:rsid w:val="2FE0243D"/>
    <w:rsid w:val="2FEC70E1"/>
    <w:rsid w:val="2FFA5A6F"/>
    <w:rsid w:val="30304CFB"/>
    <w:rsid w:val="30350166"/>
    <w:rsid w:val="304D7FF0"/>
    <w:rsid w:val="305E481A"/>
    <w:rsid w:val="306838F5"/>
    <w:rsid w:val="307C099F"/>
    <w:rsid w:val="30B266B3"/>
    <w:rsid w:val="30B8608F"/>
    <w:rsid w:val="311B008A"/>
    <w:rsid w:val="311F1417"/>
    <w:rsid w:val="3134124C"/>
    <w:rsid w:val="313C262A"/>
    <w:rsid w:val="315F03BD"/>
    <w:rsid w:val="318C11F6"/>
    <w:rsid w:val="31F302BA"/>
    <w:rsid w:val="323D7255"/>
    <w:rsid w:val="325105DF"/>
    <w:rsid w:val="325C5711"/>
    <w:rsid w:val="329E63A3"/>
    <w:rsid w:val="32A213C5"/>
    <w:rsid w:val="32E80FFE"/>
    <w:rsid w:val="332138BA"/>
    <w:rsid w:val="334D273F"/>
    <w:rsid w:val="33720F5D"/>
    <w:rsid w:val="337A5976"/>
    <w:rsid w:val="33BF3D7D"/>
    <w:rsid w:val="33CB350F"/>
    <w:rsid w:val="33E63D45"/>
    <w:rsid w:val="33F540D4"/>
    <w:rsid w:val="340C46BE"/>
    <w:rsid w:val="34AD3D6A"/>
    <w:rsid w:val="34D20971"/>
    <w:rsid w:val="34D315D3"/>
    <w:rsid w:val="34E421F0"/>
    <w:rsid w:val="34F7033A"/>
    <w:rsid w:val="35105238"/>
    <w:rsid w:val="3521516F"/>
    <w:rsid w:val="35265D8C"/>
    <w:rsid w:val="352D4CBB"/>
    <w:rsid w:val="35432208"/>
    <w:rsid w:val="35565759"/>
    <w:rsid w:val="357A7560"/>
    <w:rsid w:val="35C42387"/>
    <w:rsid w:val="35C7548F"/>
    <w:rsid w:val="36E70B22"/>
    <w:rsid w:val="371E3378"/>
    <w:rsid w:val="37491745"/>
    <w:rsid w:val="380D0ECE"/>
    <w:rsid w:val="38575800"/>
    <w:rsid w:val="385D20BC"/>
    <w:rsid w:val="38830CA3"/>
    <w:rsid w:val="38B94D7B"/>
    <w:rsid w:val="38DF6051"/>
    <w:rsid w:val="392F0F6E"/>
    <w:rsid w:val="39765B81"/>
    <w:rsid w:val="39814E6A"/>
    <w:rsid w:val="39917930"/>
    <w:rsid w:val="39DF32F5"/>
    <w:rsid w:val="3A4420EB"/>
    <w:rsid w:val="3A88602E"/>
    <w:rsid w:val="3A9B773F"/>
    <w:rsid w:val="3AB2311C"/>
    <w:rsid w:val="3ABB6C8D"/>
    <w:rsid w:val="3ADD4B15"/>
    <w:rsid w:val="3AEE380F"/>
    <w:rsid w:val="3AFB4837"/>
    <w:rsid w:val="3B127D1B"/>
    <w:rsid w:val="3B3B7498"/>
    <w:rsid w:val="3B5F5589"/>
    <w:rsid w:val="3B6829DA"/>
    <w:rsid w:val="3BBB309B"/>
    <w:rsid w:val="3BBE629B"/>
    <w:rsid w:val="3BD56508"/>
    <w:rsid w:val="3BDE05C7"/>
    <w:rsid w:val="3C543702"/>
    <w:rsid w:val="3C855AD6"/>
    <w:rsid w:val="3CB45334"/>
    <w:rsid w:val="3D192290"/>
    <w:rsid w:val="3D395845"/>
    <w:rsid w:val="3D456401"/>
    <w:rsid w:val="3D58407F"/>
    <w:rsid w:val="3D63268B"/>
    <w:rsid w:val="3D977292"/>
    <w:rsid w:val="3DB07D5A"/>
    <w:rsid w:val="3DC06863"/>
    <w:rsid w:val="3DC1149F"/>
    <w:rsid w:val="3E072AC8"/>
    <w:rsid w:val="3E1F0896"/>
    <w:rsid w:val="3E3967A5"/>
    <w:rsid w:val="3E4E4F9A"/>
    <w:rsid w:val="3E7E2B82"/>
    <w:rsid w:val="3E8317B4"/>
    <w:rsid w:val="3E835E19"/>
    <w:rsid w:val="3E930064"/>
    <w:rsid w:val="3ED2499F"/>
    <w:rsid w:val="3F122481"/>
    <w:rsid w:val="3F2C67E1"/>
    <w:rsid w:val="3F550E20"/>
    <w:rsid w:val="3FCC610F"/>
    <w:rsid w:val="40166DF7"/>
    <w:rsid w:val="40187018"/>
    <w:rsid w:val="40EE778A"/>
    <w:rsid w:val="4119400A"/>
    <w:rsid w:val="41285162"/>
    <w:rsid w:val="41405783"/>
    <w:rsid w:val="41420BAB"/>
    <w:rsid w:val="414D5BCC"/>
    <w:rsid w:val="416E1ADC"/>
    <w:rsid w:val="41723033"/>
    <w:rsid w:val="41871A01"/>
    <w:rsid w:val="41D749DE"/>
    <w:rsid w:val="426B4A0D"/>
    <w:rsid w:val="429148B4"/>
    <w:rsid w:val="42F82AAC"/>
    <w:rsid w:val="42F92DAD"/>
    <w:rsid w:val="43031825"/>
    <w:rsid w:val="435070FD"/>
    <w:rsid w:val="43522389"/>
    <w:rsid w:val="436F2318"/>
    <w:rsid w:val="4386695E"/>
    <w:rsid w:val="439F4A57"/>
    <w:rsid w:val="43E94B0E"/>
    <w:rsid w:val="43F55D4F"/>
    <w:rsid w:val="44075060"/>
    <w:rsid w:val="441C23A9"/>
    <w:rsid w:val="442D1B0F"/>
    <w:rsid w:val="445B1643"/>
    <w:rsid w:val="44B246AA"/>
    <w:rsid w:val="44F829A8"/>
    <w:rsid w:val="44FE798A"/>
    <w:rsid w:val="45125593"/>
    <w:rsid w:val="451F1915"/>
    <w:rsid w:val="452F7F7F"/>
    <w:rsid w:val="45436FEE"/>
    <w:rsid w:val="455C6C1D"/>
    <w:rsid w:val="45780C3E"/>
    <w:rsid w:val="458A087F"/>
    <w:rsid w:val="45D35263"/>
    <w:rsid w:val="45DE0512"/>
    <w:rsid w:val="460673CA"/>
    <w:rsid w:val="460B5A77"/>
    <w:rsid w:val="463B548E"/>
    <w:rsid w:val="46495975"/>
    <w:rsid w:val="466F18C6"/>
    <w:rsid w:val="46E70A98"/>
    <w:rsid w:val="46EE5581"/>
    <w:rsid w:val="470875AF"/>
    <w:rsid w:val="471A5AE8"/>
    <w:rsid w:val="471C38AC"/>
    <w:rsid w:val="472A6A31"/>
    <w:rsid w:val="481C6447"/>
    <w:rsid w:val="48230C5F"/>
    <w:rsid w:val="482E7321"/>
    <w:rsid w:val="48462743"/>
    <w:rsid w:val="48B14DCC"/>
    <w:rsid w:val="4941418C"/>
    <w:rsid w:val="494A6345"/>
    <w:rsid w:val="495B0F63"/>
    <w:rsid w:val="497F1E3B"/>
    <w:rsid w:val="4985023B"/>
    <w:rsid w:val="498D046E"/>
    <w:rsid w:val="49C91E48"/>
    <w:rsid w:val="4A4032AB"/>
    <w:rsid w:val="4A431AAC"/>
    <w:rsid w:val="4AA321FC"/>
    <w:rsid w:val="4AE77867"/>
    <w:rsid w:val="4AFB7790"/>
    <w:rsid w:val="4B0B7926"/>
    <w:rsid w:val="4B624863"/>
    <w:rsid w:val="4B821740"/>
    <w:rsid w:val="4BF90F4F"/>
    <w:rsid w:val="4C1060B6"/>
    <w:rsid w:val="4C3049E4"/>
    <w:rsid w:val="4C40639B"/>
    <w:rsid w:val="4C6D641F"/>
    <w:rsid w:val="4C900519"/>
    <w:rsid w:val="4C964B2E"/>
    <w:rsid w:val="4CC0176E"/>
    <w:rsid w:val="4CDF1BF4"/>
    <w:rsid w:val="4CF85631"/>
    <w:rsid w:val="4D155DB0"/>
    <w:rsid w:val="4D644AB2"/>
    <w:rsid w:val="4D7553CE"/>
    <w:rsid w:val="4D930C30"/>
    <w:rsid w:val="4DBA116E"/>
    <w:rsid w:val="4DEE7AFC"/>
    <w:rsid w:val="4E04436B"/>
    <w:rsid w:val="4E363339"/>
    <w:rsid w:val="4E500AE2"/>
    <w:rsid w:val="4E7F54DC"/>
    <w:rsid w:val="4E8E2AA1"/>
    <w:rsid w:val="4E943AC4"/>
    <w:rsid w:val="4F0D4CE8"/>
    <w:rsid w:val="4F111E95"/>
    <w:rsid w:val="4F480628"/>
    <w:rsid w:val="4F605C65"/>
    <w:rsid w:val="4F844CD5"/>
    <w:rsid w:val="4F931024"/>
    <w:rsid w:val="50685BF3"/>
    <w:rsid w:val="50766910"/>
    <w:rsid w:val="50D276CC"/>
    <w:rsid w:val="50E81DF6"/>
    <w:rsid w:val="50F47EBA"/>
    <w:rsid w:val="51072223"/>
    <w:rsid w:val="511D0974"/>
    <w:rsid w:val="513E5771"/>
    <w:rsid w:val="51567747"/>
    <w:rsid w:val="5178241F"/>
    <w:rsid w:val="518C0ACD"/>
    <w:rsid w:val="51A52B25"/>
    <w:rsid w:val="51A92936"/>
    <w:rsid w:val="51B203BF"/>
    <w:rsid w:val="51C561D3"/>
    <w:rsid w:val="51CC0548"/>
    <w:rsid w:val="527D3F5B"/>
    <w:rsid w:val="52804D0D"/>
    <w:rsid w:val="52AC0DEC"/>
    <w:rsid w:val="52B35DB8"/>
    <w:rsid w:val="52B96AEC"/>
    <w:rsid w:val="53537D43"/>
    <w:rsid w:val="5359146E"/>
    <w:rsid w:val="536C630A"/>
    <w:rsid w:val="537A3A06"/>
    <w:rsid w:val="53AD1D2A"/>
    <w:rsid w:val="53B06AE4"/>
    <w:rsid w:val="53E40D3F"/>
    <w:rsid w:val="54067D8E"/>
    <w:rsid w:val="54105B3B"/>
    <w:rsid w:val="54452280"/>
    <w:rsid w:val="544E7988"/>
    <w:rsid w:val="54500171"/>
    <w:rsid w:val="54972CA8"/>
    <w:rsid w:val="549864DF"/>
    <w:rsid w:val="5499056F"/>
    <w:rsid w:val="54C01BF4"/>
    <w:rsid w:val="54C01C7D"/>
    <w:rsid w:val="54C53771"/>
    <w:rsid w:val="54E13EF5"/>
    <w:rsid w:val="55481574"/>
    <w:rsid w:val="556A7FD0"/>
    <w:rsid w:val="55B77DFF"/>
    <w:rsid w:val="55B868BF"/>
    <w:rsid w:val="55EA00D7"/>
    <w:rsid w:val="56083446"/>
    <w:rsid w:val="56136695"/>
    <w:rsid w:val="5644471B"/>
    <w:rsid w:val="56832427"/>
    <w:rsid w:val="56CA30D4"/>
    <w:rsid w:val="572F5056"/>
    <w:rsid w:val="574969AC"/>
    <w:rsid w:val="575A09DF"/>
    <w:rsid w:val="579446E7"/>
    <w:rsid w:val="57A3337D"/>
    <w:rsid w:val="57AD3408"/>
    <w:rsid w:val="57C136EC"/>
    <w:rsid w:val="57C878AC"/>
    <w:rsid w:val="57F96473"/>
    <w:rsid w:val="58061F78"/>
    <w:rsid w:val="585B4699"/>
    <w:rsid w:val="586012F4"/>
    <w:rsid w:val="587C1F46"/>
    <w:rsid w:val="58A600B4"/>
    <w:rsid w:val="58B3079F"/>
    <w:rsid w:val="58B61D41"/>
    <w:rsid w:val="58D22CF7"/>
    <w:rsid w:val="590D4F4A"/>
    <w:rsid w:val="594A65CF"/>
    <w:rsid w:val="595B545F"/>
    <w:rsid w:val="5979208D"/>
    <w:rsid w:val="59940041"/>
    <w:rsid w:val="59950305"/>
    <w:rsid w:val="5A050516"/>
    <w:rsid w:val="5A067AE8"/>
    <w:rsid w:val="5A0F5624"/>
    <w:rsid w:val="5A4221C2"/>
    <w:rsid w:val="5A551C23"/>
    <w:rsid w:val="5A700477"/>
    <w:rsid w:val="5AB13D04"/>
    <w:rsid w:val="5ADD0D6F"/>
    <w:rsid w:val="5AE717D1"/>
    <w:rsid w:val="5AF913F6"/>
    <w:rsid w:val="5B151ED0"/>
    <w:rsid w:val="5B20773D"/>
    <w:rsid w:val="5B291577"/>
    <w:rsid w:val="5B2B72F2"/>
    <w:rsid w:val="5B343F3E"/>
    <w:rsid w:val="5B3D262A"/>
    <w:rsid w:val="5B436850"/>
    <w:rsid w:val="5B551998"/>
    <w:rsid w:val="5BD86BE9"/>
    <w:rsid w:val="5BF06125"/>
    <w:rsid w:val="5C1802E8"/>
    <w:rsid w:val="5C3B6628"/>
    <w:rsid w:val="5C532950"/>
    <w:rsid w:val="5C874ED4"/>
    <w:rsid w:val="5C967978"/>
    <w:rsid w:val="5CB765E2"/>
    <w:rsid w:val="5CC672D7"/>
    <w:rsid w:val="5CF3772F"/>
    <w:rsid w:val="5D3D3D05"/>
    <w:rsid w:val="5D406E10"/>
    <w:rsid w:val="5D6443E4"/>
    <w:rsid w:val="5D81182F"/>
    <w:rsid w:val="5D9C5DF8"/>
    <w:rsid w:val="5E06672B"/>
    <w:rsid w:val="5E36215E"/>
    <w:rsid w:val="5EB62D54"/>
    <w:rsid w:val="5EE0545B"/>
    <w:rsid w:val="5EE95597"/>
    <w:rsid w:val="5EEE48FF"/>
    <w:rsid w:val="5F106FE2"/>
    <w:rsid w:val="5F411333"/>
    <w:rsid w:val="5F777E71"/>
    <w:rsid w:val="5FCC6DEA"/>
    <w:rsid w:val="602E4343"/>
    <w:rsid w:val="603D1996"/>
    <w:rsid w:val="60AF054D"/>
    <w:rsid w:val="60CA57C8"/>
    <w:rsid w:val="610E4B90"/>
    <w:rsid w:val="61323569"/>
    <w:rsid w:val="613577CD"/>
    <w:rsid w:val="6142008E"/>
    <w:rsid w:val="618D5C6B"/>
    <w:rsid w:val="618E166F"/>
    <w:rsid w:val="61AD1854"/>
    <w:rsid w:val="61CB23A1"/>
    <w:rsid w:val="61EA144D"/>
    <w:rsid w:val="620576D3"/>
    <w:rsid w:val="623D6795"/>
    <w:rsid w:val="625422E5"/>
    <w:rsid w:val="62583130"/>
    <w:rsid w:val="62792C60"/>
    <w:rsid w:val="62876DA9"/>
    <w:rsid w:val="628C12A3"/>
    <w:rsid w:val="63BF2596"/>
    <w:rsid w:val="63F147B9"/>
    <w:rsid w:val="63F600CA"/>
    <w:rsid w:val="640C67EB"/>
    <w:rsid w:val="6413507E"/>
    <w:rsid w:val="643903FB"/>
    <w:rsid w:val="64BE5896"/>
    <w:rsid w:val="652A474C"/>
    <w:rsid w:val="653B6202"/>
    <w:rsid w:val="65491EA9"/>
    <w:rsid w:val="656A6A82"/>
    <w:rsid w:val="65761C75"/>
    <w:rsid w:val="65A61484"/>
    <w:rsid w:val="65A86DF0"/>
    <w:rsid w:val="65D05AD1"/>
    <w:rsid w:val="65E70F67"/>
    <w:rsid w:val="66141194"/>
    <w:rsid w:val="66295324"/>
    <w:rsid w:val="663F4313"/>
    <w:rsid w:val="6691238E"/>
    <w:rsid w:val="67436A6F"/>
    <w:rsid w:val="675F42B1"/>
    <w:rsid w:val="67741ECF"/>
    <w:rsid w:val="678E2418"/>
    <w:rsid w:val="67D16578"/>
    <w:rsid w:val="67E97C58"/>
    <w:rsid w:val="68534DEC"/>
    <w:rsid w:val="6870128A"/>
    <w:rsid w:val="68996939"/>
    <w:rsid w:val="68A46A01"/>
    <w:rsid w:val="68AF3B0E"/>
    <w:rsid w:val="68CE119F"/>
    <w:rsid w:val="68D66CD5"/>
    <w:rsid w:val="68FB5268"/>
    <w:rsid w:val="690B3330"/>
    <w:rsid w:val="693F5D85"/>
    <w:rsid w:val="696159DF"/>
    <w:rsid w:val="69624DE7"/>
    <w:rsid w:val="69A1721B"/>
    <w:rsid w:val="69AF2B24"/>
    <w:rsid w:val="69B96450"/>
    <w:rsid w:val="69E30276"/>
    <w:rsid w:val="6A105078"/>
    <w:rsid w:val="6A232DE4"/>
    <w:rsid w:val="6A4C1626"/>
    <w:rsid w:val="6A7640C2"/>
    <w:rsid w:val="6A775464"/>
    <w:rsid w:val="6AA23A6F"/>
    <w:rsid w:val="6AB31D57"/>
    <w:rsid w:val="6AD90E7A"/>
    <w:rsid w:val="6AE668C9"/>
    <w:rsid w:val="6B6C01E0"/>
    <w:rsid w:val="6BBD3C1F"/>
    <w:rsid w:val="6BF14757"/>
    <w:rsid w:val="6C072C48"/>
    <w:rsid w:val="6C151088"/>
    <w:rsid w:val="6C3714AB"/>
    <w:rsid w:val="6CB12524"/>
    <w:rsid w:val="6CC23A00"/>
    <w:rsid w:val="6CF360DA"/>
    <w:rsid w:val="6CFF6C78"/>
    <w:rsid w:val="6D7F5D79"/>
    <w:rsid w:val="6DA03204"/>
    <w:rsid w:val="6DB60D43"/>
    <w:rsid w:val="6DFF0AE5"/>
    <w:rsid w:val="6DFF5F5B"/>
    <w:rsid w:val="6E2856AF"/>
    <w:rsid w:val="6E7F7030"/>
    <w:rsid w:val="6E9B5917"/>
    <w:rsid w:val="6EBF4557"/>
    <w:rsid w:val="6F133C87"/>
    <w:rsid w:val="6F21304A"/>
    <w:rsid w:val="6F5A21DC"/>
    <w:rsid w:val="6F5E42C9"/>
    <w:rsid w:val="6F765E14"/>
    <w:rsid w:val="6FCC45FF"/>
    <w:rsid w:val="6FF224CB"/>
    <w:rsid w:val="700111D1"/>
    <w:rsid w:val="70157177"/>
    <w:rsid w:val="70352DA9"/>
    <w:rsid w:val="70AF17D8"/>
    <w:rsid w:val="70EE658C"/>
    <w:rsid w:val="711101F3"/>
    <w:rsid w:val="71710CBC"/>
    <w:rsid w:val="71826BBE"/>
    <w:rsid w:val="71D8376E"/>
    <w:rsid w:val="71D86170"/>
    <w:rsid w:val="71E2204B"/>
    <w:rsid w:val="72076910"/>
    <w:rsid w:val="72080362"/>
    <w:rsid w:val="725941B8"/>
    <w:rsid w:val="725E05DF"/>
    <w:rsid w:val="72C90870"/>
    <w:rsid w:val="72D04841"/>
    <w:rsid w:val="73086240"/>
    <w:rsid w:val="73086964"/>
    <w:rsid w:val="730B69EF"/>
    <w:rsid w:val="73372F12"/>
    <w:rsid w:val="739B4BAE"/>
    <w:rsid w:val="73C10117"/>
    <w:rsid w:val="73E14398"/>
    <w:rsid w:val="740E0AF1"/>
    <w:rsid w:val="742B3905"/>
    <w:rsid w:val="742D1BD6"/>
    <w:rsid w:val="74BB6F06"/>
    <w:rsid w:val="74EE227B"/>
    <w:rsid w:val="75594EDD"/>
    <w:rsid w:val="75CA4BCD"/>
    <w:rsid w:val="75CC53A3"/>
    <w:rsid w:val="76342CA5"/>
    <w:rsid w:val="76387D4E"/>
    <w:rsid w:val="76393874"/>
    <w:rsid w:val="763A7E86"/>
    <w:rsid w:val="76676633"/>
    <w:rsid w:val="766D176F"/>
    <w:rsid w:val="769A022D"/>
    <w:rsid w:val="76A61318"/>
    <w:rsid w:val="76E0543F"/>
    <w:rsid w:val="76EA2703"/>
    <w:rsid w:val="77202696"/>
    <w:rsid w:val="773252DB"/>
    <w:rsid w:val="777C2F7F"/>
    <w:rsid w:val="77810CBE"/>
    <w:rsid w:val="778D6519"/>
    <w:rsid w:val="779A492B"/>
    <w:rsid w:val="77C66268"/>
    <w:rsid w:val="77D3686D"/>
    <w:rsid w:val="77E22B68"/>
    <w:rsid w:val="77E903B0"/>
    <w:rsid w:val="77EF6818"/>
    <w:rsid w:val="78497F6D"/>
    <w:rsid w:val="78764F29"/>
    <w:rsid w:val="78A84945"/>
    <w:rsid w:val="78D440EB"/>
    <w:rsid w:val="78D66879"/>
    <w:rsid w:val="78E747EE"/>
    <w:rsid w:val="78EA2A22"/>
    <w:rsid w:val="791E78FE"/>
    <w:rsid w:val="79226A77"/>
    <w:rsid w:val="79636FB6"/>
    <w:rsid w:val="79712E1A"/>
    <w:rsid w:val="79916ED7"/>
    <w:rsid w:val="79933281"/>
    <w:rsid w:val="7A424640"/>
    <w:rsid w:val="7A4B452E"/>
    <w:rsid w:val="7AE81025"/>
    <w:rsid w:val="7AE82D2B"/>
    <w:rsid w:val="7AE86874"/>
    <w:rsid w:val="7AEA3D2A"/>
    <w:rsid w:val="7B442502"/>
    <w:rsid w:val="7BA337BF"/>
    <w:rsid w:val="7BCD4888"/>
    <w:rsid w:val="7CDF0BE9"/>
    <w:rsid w:val="7D195AA0"/>
    <w:rsid w:val="7D23402B"/>
    <w:rsid w:val="7D307303"/>
    <w:rsid w:val="7D754210"/>
    <w:rsid w:val="7D7B11A3"/>
    <w:rsid w:val="7D953078"/>
    <w:rsid w:val="7DA636D5"/>
    <w:rsid w:val="7DC65EE4"/>
    <w:rsid w:val="7E555E93"/>
    <w:rsid w:val="7E91038E"/>
    <w:rsid w:val="7EBF22F8"/>
    <w:rsid w:val="7EC754B1"/>
    <w:rsid w:val="7F0D25B7"/>
    <w:rsid w:val="7F520443"/>
    <w:rsid w:val="7FA26BC2"/>
    <w:rsid w:val="7FA60A49"/>
    <w:rsid w:val="7FAE0E2E"/>
    <w:rsid w:val="7FD31FAB"/>
    <w:rsid w:val="7FDD371E"/>
    <w:rsid w:val="7FE11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80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9"/>
    <w:pPr>
      <w:keepNext/>
      <w:keepLines/>
      <w:jc w:val="center"/>
      <w:outlineLvl w:val="0"/>
    </w:pPr>
    <w:rPr>
      <w:b/>
      <w:kern w:val="44"/>
      <w:sz w:val="36"/>
    </w:rPr>
  </w:style>
  <w:style w:type="paragraph" w:styleId="3">
    <w:name w:val="heading 2"/>
    <w:basedOn w:val="1"/>
    <w:next w:val="1"/>
    <w:autoRedefine/>
    <w:qFormat/>
    <w:uiPriority w:val="9"/>
    <w:pPr>
      <w:keepNext/>
      <w:adjustRightInd w:val="0"/>
      <w:snapToGrid w:val="0"/>
      <w:ind w:firstLine="0" w:firstLineChars="0"/>
      <w:jc w:val="left"/>
      <w:outlineLvl w:val="1"/>
    </w:pPr>
    <w:rPr>
      <w:b/>
      <w:sz w:val="30"/>
      <w:szCs w:val="28"/>
    </w:rPr>
  </w:style>
  <w:style w:type="paragraph" w:styleId="4">
    <w:name w:val="heading 3"/>
    <w:basedOn w:val="1"/>
    <w:next w:val="1"/>
    <w:autoRedefine/>
    <w:qFormat/>
    <w:uiPriority w:val="9"/>
    <w:pPr>
      <w:keepNext/>
      <w:keepLines/>
      <w:ind w:firstLine="0" w:firstLineChars="0"/>
      <w:outlineLvl w:val="2"/>
    </w:pPr>
    <w:rPr>
      <w:b/>
    </w:rPr>
  </w:style>
  <w:style w:type="paragraph" w:styleId="5">
    <w:name w:val="heading 4"/>
    <w:basedOn w:val="1"/>
    <w:next w:val="1"/>
    <w:autoRedefine/>
    <w:unhideWhenUsed/>
    <w:qFormat/>
    <w:uiPriority w:val="0"/>
    <w:pPr>
      <w:keepNext/>
      <w:keepLines/>
      <w:ind w:firstLine="0" w:firstLineChars="0"/>
      <w:outlineLvl w:val="3"/>
    </w:pPr>
    <w:rPr>
      <w:b/>
    </w:rPr>
  </w:style>
  <w:style w:type="paragraph" w:styleId="6">
    <w:name w:val="heading 5"/>
    <w:basedOn w:val="1"/>
    <w:next w:val="1"/>
    <w:qFormat/>
    <w:uiPriority w:val="0"/>
    <w:pPr>
      <w:keepNext/>
      <w:keepLines/>
      <w:spacing w:before="40" w:after="40"/>
      <w:ind w:firstLine="0" w:firstLineChars="0"/>
      <w:jc w:val="center"/>
      <w:outlineLvl w:val="4"/>
    </w:pPr>
    <w:rPr>
      <w:b/>
      <w:bCs/>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autoRedefine/>
    <w:qFormat/>
    <w:uiPriority w:val="99"/>
    <w:rPr>
      <w:sz w:val="30"/>
    </w:rPr>
  </w:style>
  <w:style w:type="paragraph" w:styleId="8">
    <w:name w:val="Plain Text"/>
    <w:basedOn w:val="1"/>
    <w:qFormat/>
    <w:uiPriority w:val="0"/>
    <w:pPr>
      <w:spacing w:line="240" w:lineRule="auto"/>
    </w:pPr>
    <w:rPr>
      <w:rFonts w:eastAsia="宋体"/>
      <w:szCs w:val="20"/>
    </w:rPr>
  </w:style>
  <w:style w:type="paragraph" w:styleId="9">
    <w:name w:val="Balloon Text"/>
    <w:basedOn w:val="1"/>
    <w:link w:val="21"/>
    <w:autoRedefine/>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jc w:val="left"/>
    </w:pPr>
    <w:rPr>
      <w:sz w:val="18"/>
      <w:szCs w:val="18"/>
    </w:rPr>
  </w:style>
  <w:style w:type="paragraph" w:styleId="11">
    <w:name w:val="header"/>
    <w:basedOn w:val="1"/>
    <w:autoRedefine/>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ind w:left="560" w:leftChars="200"/>
    </w:pPr>
  </w:style>
  <w:style w:type="table" w:styleId="15">
    <w:name w:val="Table Grid"/>
    <w:basedOn w:val="1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autoRedefine/>
    <w:unhideWhenUsed/>
    <w:qFormat/>
    <w:uiPriority w:val="99"/>
    <w:rPr>
      <w:color w:val="0563C1" w:themeColor="hyperlink"/>
      <w:u w:val="single"/>
      <w14:textFill>
        <w14:solidFill>
          <w14:schemeClr w14:val="hlink"/>
        </w14:solidFill>
      </w14:textFill>
    </w:rPr>
  </w:style>
  <w:style w:type="paragraph" w:customStyle="1" w:styleId="18">
    <w:name w:val="表格内容"/>
    <w:basedOn w:val="1"/>
    <w:next w:val="19"/>
    <w:autoRedefine/>
    <w:qFormat/>
    <w:uiPriority w:val="0"/>
    <w:pPr>
      <w:spacing w:line="240" w:lineRule="auto"/>
      <w:ind w:firstLine="0" w:firstLineChars="0"/>
      <w:jc w:val="center"/>
    </w:pPr>
    <w:rPr>
      <w:sz w:val="24"/>
    </w:rPr>
  </w:style>
  <w:style w:type="paragraph" w:customStyle="1" w:styleId="19">
    <w:name w:val="表格下文字"/>
    <w:qFormat/>
    <w:uiPriority w:val="0"/>
    <w:pPr>
      <w:spacing w:line="360" w:lineRule="auto"/>
      <w:jc w:val="both"/>
    </w:pPr>
    <w:rPr>
      <w:rFonts w:ascii="Times New Roman" w:hAnsi="Times New Roman" w:eastAsia="仿宋_GB2312" w:cs="Times New Roman"/>
      <w:kern w:val="2"/>
      <w:sz w:val="21"/>
      <w:szCs w:val="21"/>
      <w:lang w:val="en-US" w:eastAsia="zh-CN" w:bidi="ar-SA"/>
    </w:rPr>
  </w:style>
  <w:style w:type="paragraph" w:customStyle="1" w:styleId="20">
    <w:name w:val="图表标题"/>
    <w:basedOn w:val="1"/>
    <w:autoRedefine/>
    <w:qFormat/>
    <w:uiPriority w:val="0"/>
    <w:pPr>
      <w:spacing w:line="240" w:lineRule="auto"/>
      <w:ind w:firstLine="0" w:firstLineChars="0"/>
      <w:jc w:val="center"/>
    </w:pPr>
    <w:rPr>
      <w:b/>
      <w:bCs/>
    </w:rPr>
  </w:style>
  <w:style w:type="character" w:customStyle="1" w:styleId="21">
    <w:name w:val="批注框文本 Char"/>
    <w:basedOn w:val="16"/>
    <w:link w:val="9"/>
    <w:autoRedefine/>
    <w:qFormat/>
    <w:uiPriority w:val="0"/>
    <w:rPr>
      <w:rFonts w:eastAsia="仿宋_GB2312"/>
      <w:kern w:val="2"/>
      <w:sz w:val="18"/>
      <w:szCs w:val="18"/>
    </w:rPr>
  </w:style>
  <w:style w:type="table" w:customStyle="1" w:styleId="22">
    <w:name w:val="Table Normal"/>
    <w:autoRedefine/>
    <w:semiHidden/>
    <w:unhideWhenUsed/>
    <w:qFormat/>
    <w:uiPriority w:val="0"/>
    <w:tblPr>
      <w:tblCellMar>
        <w:top w:w="0" w:type="dxa"/>
        <w:left w:w="0" w:type="dxa"/>
        <w:bottom w:w="0" w:type="dxa"/>
        <w:right w:w="0" w:type="dxa"/>
      </w:tblCellMar>
    </w:tblPr>
  </w:style>
  <w:style w:type="paragraph" w:customStyle="1" w:styleId="23">
    <w:name w:val="Table Text"/>
    <w:basedOn w:val="1"/>
    <w:autoRedefine/>
    <w:semiHidden/>
    <w:qFormat/>
    <w:uiPriority w:val="0"/>
    <w:rPr>
      <w:rFonts w:ascii="宋体" w:hAnsi="宋体" w:eastAsia="宋体" w:cs="宋体"/>
      <w:sz w:val="23"/>
      <w:szCs w:val="23"/>
      <w:lang w:val="en-US" w:eastAsia="en-US" w:bidi="ar-SA"/>
    </w:rPr>
  </w:style>
  <w:style w:type="paragraph" w:customStyle="1" w:styleId="24">
    <w:name w:val="正文123"/>
    <w:basedOn w:val="1"/>
    <w:qFormat/>
    <w:uiPriority w:val="0"/>
    <w:pPr>
      <w:widowControl w:val="0"/>
      <w:overflowPunct w:val="0"/>
      <w:topLinePunct/>
      <w:snapToGrid w:val="0"/>
      <w:jc w:val="both"/>
    </w:pPr>
  </w:style>
  <w:style w:type="paragraph" w:customStyle="1" w:styleId="25">
    <w:name w:val="表格2"/>
    <w:basedOn w:val="1"/>
    <w:qFormat/>
    <w:uiPriority w:val="0"/>
    <w:pPr>
      <w:spacing w:before="80" w:after="86"/>
      <w:jc w:val="center"/>
    </w:pPr>
    <w:rPr>
      <w:sz w:val="21"/>
      <w:szCs w:val="24"/>
    </w:rPr>
  </w:style>
  <w:style w:type="paragraph" w:customStyle="1" w:styleId="26">
    <w:name w:val="表格文字1"/>
    <w:basedOn w:val="1"/>
    <w:qFormat/>
    <w:uiPriority w:val="0"/>
    <w:pPr>
      <w:spacing w:line="240" w:lineRule="auto"/>
      <w:jc w:val="center"/>
    </w:pPr>
    <w:rPr>
      <w:rFonts w:cs="宋体"/>
      <w:sz w:val="24"/>
      <w:szCs w:val="20"/>
    </w:rPr>
  </w:style>
  <w:style w:type="paragraph" w:styleId="27">
    <w:name w:val="No Spacing"/>
    <w:qFormat/>
    <w:uiPriority w:val="1"/>
    <w:pPr>
      <w:widowControl w:val="0"/>
      <w:spacing w:line="360" w:lineRule="auto"/>
      <w:ind w:firstLine="200" w:firstLineChars="200"/>
      <w:jc w:val="both"/>
    </w:pPr>
    <w:rPr>
      <w:rFonts w:ascii="Times New Roman" w:hAnsi="Times New Roman"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header" Target="header21.xml"/><Relationship Id="rId3" Type="http://schemas.openxmlformats.org/officeDocument/2006/relationships/footnotes" Target="footnotes.xml"/><Relationship Id="rId29" Type="http://schemas.openxmlformats.org/officeDocument/2006/relationships/header" Target="header20.xml"/><Relationship Id="rId28" Type="http://schemas.openxmlformats.org/officeDocument/2006/relationships/header" Target="header19.xml"/><Relationship Id="rId27" Type="http://schemas.openxmlformats.org/officeDocument/2006/relationships/header" Target="header18.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5.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25242-DD2E-460D-9698-FEE774FAE9F1}">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46</Pages>
  <Words>5281</Words>
  <Characters>6051</Characters>
  <Lines>144</Lines>
  <Paragraphs>40</Paragraphs>
  <TotalTime>1</TotalTime>
  <ScaleCrop>false</ScaleCrop>
  <LinksUpToDate>false</LinksUpToDate>
  <CharactersWithSpaces>6119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2018-12-12T01:23:00Z</dcterms:created>
  <dc:creator>Administrator</dc:creator>
  <cp:lastModifiedBy>ZH</cp:lastModifiedBy>
  <dcterms:modified xsi:type="dcterms:W3CDTF">2025-08-21T03:58:29Z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CD541061CD3C460F82538B1A94D9EE41_13</vt:lpwstr>
  </property>
  <property fmtid="{D5CDD505-2E9C-101B-9397-08002B2CF9AE}" pid="4" name="KSOTemplateDocerSaveRecord">
    <vt:lpwstr>eyJoZGlkIjoiYjJiOWVkMWMzZGI0YmFmZDZjYWRlY2EzZmE0NzI3YTEiLCJ1c2VySWQiOiIzMzUzNDAwNTIifQ==</vt:lpwstr>
  </property>
</Properties>
</file>