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2022年度河湖长制奖励资金（指挥中心）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数字孪生建设项目旨在实现汇集、共享跨部门数据信息，实时动态分析研判各类风险预警信息，分解小流域山洪灾害相关部门工作任务，为山洪灾害防御的科学决策提供支持。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现有数据资源数据库基础上完善基础数据库，实时监测雨水情数据，加强基础信息维护，跨行业共享数据（如气象卫星云图、雷达图、台风路径等对接），完善“四预”平台的应用建设内容等，进一步发挥河湖管护能力、提高水旱灾害防御预报水平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1)单价是否控制在批复概算单价内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1)实施幸福河湖数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2)河湖管护长度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公里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43.2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1)截至2023年12月底完成，完成项目初步验收率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2)工程验收合格率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3)已建工程是否存在质量问题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1)截至2023年12月底投资完成比例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1)已建工程是否良性运行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