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省级第八批水利专项资金-闽清水葫芦治理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闽清县闽江支流水葫芦清理。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通过组织集中清理打捞及日常维护清理，保障古田溪三级库区、四级库区水域整洁美观，生态环境持续向好。古田溪流域(闽清段)控制水葫芦成片面积小于30亩。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1)项目成本控制率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1)古田溪流域（闽清段）控制水葫芦成片面积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亩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2)保障流域整洁面积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亩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1)古田溪水域质量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类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1)资金在规定时间内下达率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1)河道生态修复率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