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福州市2023年河湖长制工作巡（检）查第三方服务项目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为深化河湖长制工作，及时发现河湖问题并督促整改，我市继续开展河湖长制工作第三方巡查检查服务。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流域9个国考断面Ⅰ-Ⅲ类水质比例为100%，36个省考及以上主要流域断面Ⅰ-Ⅲ类水质比例为97.2%，54个小流域省考断面Ⅰ-Ⅲ类水质比例为96.3%，县级以上集中式饮用水源地水质达标率为100%，全市河湖水质达到“十三五”以来最好水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1)累计发现问题数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1)问题解决率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1)进度达标率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1)水质达标率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