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福州闽江干流防洪提升工程（福州段）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仓山区堤防提升长5.53公里，护岸工程长13.15公里，新建螺城泵站、水闸，新建江中水闸。项目总投资16.09亿元。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故障发生率低于1%，工程进度达标率100%，成本控制率0%，年度完成投资额19450万元，补水工程施工投诉件数量0件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1)故障发生率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1)工程进度达标率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1)年度完成投资额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1)补水工程施工投诉件数量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