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福州市水土保持专项（市本级）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福州市水土保持专项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常态化开展水土流失综合治理、监督、监测、宣传工作，年末水土流失率下降至6.51。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1)成本节约率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6.67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1)成果报告审查通过率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1)完工及时率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1)水土流失率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6.64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