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移民后扶项目、扶助工程市级验收工作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市委2006年《会议纪要》24号、国发[2006]17号规定“移民管理机构工作经费要纳入同级财务预算”  用于移民局日常工作经费及业务开展。主要用途为：登记复核、移民工作管理、会议差旅、业务培训、设备购置、文明单位创建、党建活动等。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保障移民工作正常运转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