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2023年度第二批第二笔小型水库移民扶助基金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围绕推进乡村振兴，突出示范引领，着力全面提升，统筹使用小型水库移民扶助基金，推动水库库区和移民安置区特色产业发展、人居环境改善、基础设施建设、公共服务提升，促进水库移民后扶工作与乡村振兴有机融合，提高库区移民扶持实效，加快建设库区宜居宜业和美乡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1)项目批复控制在预算范围内的项目比例（%）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1)完成有关县（市）区资金分解任务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1)资金分解率（%）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1)项目扶持收益移民村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