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 2023 年省级第六批水利专项资金-沿河重要集镇特征水位确定试点县建设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＜福建省财政厅 福建省水利厅关于 下达 2023 年省级第六批水利专项资金的通知＞(闽财农指〔2023〕71 号)，闽水函［2023］353号的＜福建省 2023 年度山洪灾害防治项目</w:t>
        <w:cr/>
        <w:t>实施方案＞要求沿河重要集镇特征水位确定试点县建设（２个县）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沿河重要集镇特征水位确定试点县建设，对罗源县、永泰县主要河流开展集镇河道行洪能力调查、分析，编制罗源县、永泰县重要集镇警戒、保证水位核定成果文本，为乡镇集镇山洪灾害防御工作提供指标数据。   进一步提高山洪灾害预警能力、监测预警能力和群测群防能力。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1)省级财政专项资金 投入成本控制率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1)实施采购意向公示次数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1)项目是否公开招投标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1)完成采购预算批复时间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1)规划山洪灾害防治覆盖人口数量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37.241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1)项目受益群众满意 度（%）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