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2023年国家重大水利工程建设基金（三峡工程后续工作）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及时分解2023年国家重大水利工程建设基金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1)项目批复控制在预算范围内的项目比例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1)完成有关县（市）区资金分解任务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1)资金分解率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1)项目扶持受益移民村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