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防恐项目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根据工作职责以及水利工程防恐安全要求，用于安排恩顶水库全球眼安装、线路费租金相关费用、雇佣安保人员工资等费用。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根据工作职责以及水利工程防恐安全要求，用于安排恩顶水库全球眼安装，线路费租金相关费用、雇佣安保人员工资等费用。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96.57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1)行政运行成本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9.57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1)监控点安装数量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1)监测数据合格率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1)应急救援平均响应时间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1)隐患消除情况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