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福州市江北城区山洪防治及生态补水工程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项目性质为防洪工程项目，目的是提高江北城区山洪防治能力，改善市区内河水环境和生态环境。项目主要内容是建设一条总长29.92km的主隧洞（道），并在沿线设5条补水支洞、12座截洪坝、6座控制闸。项目位于福州市闽江北港北岸城区，西起闽江北港文山里上游浦口，沿江北城区北面山区，经八一水库，登云水库后，东至魁岐出口。工程总投资318079.99万元，建成后将使江北城区的防洪标准达到50年一遇，排涝标准达到20年一遇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际劳务派遣人数240人，项目完成招投标次数1次，水闸设备等运行故障发生率小于10%，财政到位资金拨付至施工方及时性100%，成本控制率计算得出-0.66%，项目实施过程中由施工方实际缴纳的税费46.9万元，投诉业务部门不作为的投诉件数量0件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-0.66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2)项目完成招投标次数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1)故障发生率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1)项目实施过程中由施工方实际缴纳的税费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