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福州智慧水利建设项目（一期）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通过公开投标，由第三方建设，建成福州智慧水利平台（一期）。依托e福州综合指挥平台、市时空平台和市政务大数据平台，遵循“开放应用、整合通用、强化共用”原则，通过搭建福州市水利数据资源中心、福州市河湖水系综合调度指挥中心、水利一张图、应用支撑平台、智慧使能平台和河湖长制、水政执法、山洪灾害、水利可视化分析系统、水利移动应用等，用于水旱灾害防御、河湖管理、水政执法等工作实现数据融合共享、信息挖掘分析和重点业务智能应用，提高水利事业活动的效率和效能，实现水利管理和行政的现代化。该项目大数据委批复额1958万元，经公开招投标项目总投资额为1947.31万元，资金来源列入福州市城市信息化专项资金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建成“两中心、一张图、两平台”的智慧支撑体系和河湖长制管理、水政执法监管、山洪灾害监测预警等业务应用系统，并模块链接已建在用的6个应用系统。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13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1)信息化建设成本控制率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1)软件模块开发数量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2)软件维护数量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套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3)硬件采购数量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套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1)设备无故障运行率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2)系统验收合格率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3)信息系统安全等级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级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1)系统一般故障修复响应时间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小时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1)采购资金节约率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1)培训人数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2)项目覆盖县区比率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1)用户使用满意度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