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水利工程建设经费(经建处）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本项目由江北城区山洪防治及生态补水工程、闽江下游防洪工程、南港北岸防洪工程（盖山、义序段）修整项目（土建及泵闸部分）等3个项目统筹使用。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劳务派遣人数240人，项目招投标次数1次，故障发生率0，资金拨付及时率100%，成本控制率100%，项目实施过程中由施工方实际缴纳的税费46.9万元，投诉业务部门不作为的投诉件数量0件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2)项目完成招投标次数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1)项目实施过程中由施工方实际缴纳的税费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