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河湖长制宣传经费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根据《福建省财政厅福建省水利厅关于下达2022年第三批中央水利发展资金的通知》(闽财农指 (2022)52号)，下达我市中央水利发展资金2000万元，用于开展河湖管理工作。经市政府同意(市政府告知单GZ2022NY00086号)，从该项资金中安排200万元,用于保障河湖长制宣传经费。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2023年以来，紧紧围绕河湖长制工作重点、难点、亮点，全方位、多渠道开展河长制宣传工作，积极动员全民参与、全民推进，营造了良好的舆论氛围。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1)福州日报宣传成本控制率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32.9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1)宣传报道数量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1)宣传报道合格率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1)宣传报道及时率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1)null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1)主要流域水质优良率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