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八一水库应急清淤工程结算款项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市政府常务会议纪要[2020]20号 《市十五届政府2020年第14次常务会议纪要》，有效提升库容量和整体美观，对发展城市防洪、旅游、美化环境有着重要的作用。八一水库应急清淤工程总体设计清淤高程为41.00米，清淤总方量13.5万方，工期2个月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本次清淤增加总调蓄库容约12.03万方（总调蓄库容约206.15万方）。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98.92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1)建设投入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1273.6928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1273.683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1)清淤完成方量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万方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13.5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12.038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8.92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1)项目竣工验收合格率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1)工程工期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1)施工期间发生安全事故数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