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市级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河长制工作专项（市本级）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河长制工作专项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全市河湖水质达到“十三五”以来最好水平，群众满意度高。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100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1)项目成本控制率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99.79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1)督查次数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次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1)问题整改率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13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13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1)问题整改及时率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12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12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1)主要流域水质优良率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94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1)受益群众满意度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98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