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省级第四批水利专项资金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河道专管员巡河履职，水环境不断改善。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重视河湖长制工作，坚持高位推进，统筹开展全域治水，重点实施“七大行动”、全域构建“七大体系”，取得良好成效。</w:t>
        <w:cr/>
        <w:t>主要流域 9 个国考断面优良水质比例为 100%，36 个省考及以上主要流域断面优良水质比例为100%，54 个小流域省考断面优良水质比例为 100%，县级以上集中—2—式饮用水源地水质达标率为 100%，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1)河道专管员补助成本控制率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1)河道专管员数量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794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1)问题整改率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1)河道专管员寻河率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1)主要流域水质优良率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