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山洪灾害非工程措施（2021年度资金项目尾款）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《福建省2021年度山洪灾害防治项目非工程措施实施方案》组织建设,，通过山洪值班室完善，提升值班硬件设施水平，使信息化建设成果能够在山洪灾害防治工作中充分应用，包括山洪灾害预警设施设备完善、市级山洪灾害监测预警平台完善、运行维护等。通过公开招标，中标价81.7万元。2022年已经完成验收，2023年的任务是实施支付以及后期运维。资金来源：中央资金  （闽财农指[2020]98号）。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完成福州市水利局市本级山洪灾害监测预警平台更新、巩固提升，包括山洪灾害预警设施设备完善、市级山洪灾害监测预警平台完善、运维。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1)信息化建设成本控制率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1)软件模块开发数量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套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1)设备无故障运行率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1)系统一般故障修复响应时间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小时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1)采购资金节约率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1)用户使用满意度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