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福州溪源溪小流域（溪源水库）数字孪生建设项目（一期）（2022年度省级资金）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州市财政局专项审核报告书A.2833号，闽财农指[2022]37号，本项目实现汇集、共享跨部门数据信息，实时动态分析研判各类风险预警信息，分解小流域山洪灾害相关部门工作任务，为山洪灾害防御的科学决策提供支持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围绕“预警、预报、预演、预案”进行，着力提升“四预“能力，提升溪源溪智慧防洪能力。以溪源溪为重点，依托福州智慧水利平台，通过流域数据底板、模型平台、知识平台构建搭建，助力“一湖一堤一库、三河三站五闸”一体化调度，提升流域防洪、排涝“四预”功能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1)单价是否控制在批复概算单价内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1)实施幸福河湖数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2)河湖管护长度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公里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1)截至2023年12月底完成，完成项目初步验收率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2)工程验收合格率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3)已建工程是否存在质量问题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1)截至2023年底投资完成比例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2)截至2023年12月底投资完成比例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1)已建工程是否良性运行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