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  2023年第四批中央水利救灾资金（雨水情站点和监控站点水毁修复）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修复56个雨水情站点和2个视频监控站点（见：闽财农指〔2023〕82号、福州市人民政府办公厅文件办理告知单 编号：GZ2023NY00102号）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对水雨情站点进行修复重建，完善我市水利汛情监测站点，为防汛决策提供依据，进一步提高监测预警能力力。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1)计划项目金额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1)计划建设水雨晴站点数量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1)计划投标单位符合相关资质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1)年内完成初步方案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1)保障居民社会生活平稳率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