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船舶燃油与保养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船舶燃油与保养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保障2023年船舶燃油与保养，保证执法工作正常开展。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88.58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1)零星维护维修项目数量大于等于4次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1)工程验收合格率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1)完结时效性(完结及时率)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1)工程事故发生次数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1)社会公众满意率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