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闽江干流防洪提升工程(福州段）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福州段项目，建设改造防洪堤(岸)总长32.1215km，</w:t>
        <w:cr/>
        <w:t>其中仓山区提升改造堤防长5.5349km，新建护岸长13.1536km，新建螺城水闸、泵站、旱闸各1座；闽侯县龙祥岛提升改造堤防长13.433km,新建江中水闸1座。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福州段项目，建设改造防洪堤(岸)总长32.1215km，</w:t>
        <w:cr/>
        <w:t>其中仓山区提升改造堤防长5.5349km，新建护岸长13.1536km，新建螺城水闸、泵站、旱闸各1座；闽侯县龙祥岛提升改造堤防长13.433km,新建江中水闸1座。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1)劳务派遣人数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2)项目完成招投标次数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1)故障发生率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1)项目实施过程中由施工方实际缴纳的税费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50.82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1)投诉业务部门不作为的投诉件数量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