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水利行业安全生产监督专项资金（2023省级资金）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项目目标：以确保水利工程建设与运行管理安全。项目实施方式：加强现场监督检查。项目资金来源及项目风险：2023年省级第六批水利专项资金。项目实施情况：不定期检查。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加强现场监督检查，以确保水利工程建设与运行管理安全。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3478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1)询价单位数量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1)职称占比率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1)项目工作方案及时性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1)检查覆盖县区比率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