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2023年度第二批小型水库移民扶助基金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/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围绕推进乡村振兴，突出示范引领，着力全面提升，统筹使用小型水库移民扶助基金，推动水库库区和移民安置区特色产业发展、人居环境改善、基础设施建设、公共服务提升，促进水库移民后扶工作与乡村振兴有机融合，提高库区移民扶持实效，加快建设库区宜居宜业和美乡村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1)项目批复控制在预算范围内的项目比例（%）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1)完成有关县（市）区资金分解任务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1)资金分解率（%）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1)资金下达情况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天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1)项目扶持收益移民村）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1)上级主管单位满意度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