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闽江下游北港北岸护岸水毁修复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2023年9月5日至6日“海葵”台风持续强降雨引发的洪水，造成护岸变形约260米。本项目实施目标为修复水毁护岸，所需资金200万元，其中中央补助117万元，本级财政统筹安排83万元。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本项目实施期目标为修复护岸260米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1)安全生产事故发生次数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1)编制项目设计方案数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1)设计标准达标率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