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流域综合规划和市级水网建设规划编制经费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全面分析流域和区域水网建设基础和需求；合理确定流域和区域水网建设目标指标；科学谋划流域和区域水网建设布局。对外委托设计院编制。财政公共预算。正在准备开展政府采购。</w:t>
        <w:cr/>
        <w:t>专项审核报告书（申报编号1736）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全面分析流域和区域水网建设基础和需求；合理确定流域和区域水网建设目标指标；科学谋划流域和区域水网建设布局。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1)项目管理人员与项目实施总人数之比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1)完成规划报告数量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本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1)政府采购率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1)工作经费按时支付率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1)报告正常使用年限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1)规划报告使用人员满意度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