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开展河湖长制基础工作经费（省级）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根据闽财农指【2022】86号及专项审核报告书（编号1645），下达开展河湖长制基础工作经费13万元，编制闽江、敖江和龙江流域一河一档一策，开展河湖治理管护，稳步提升流域水质。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摸清了闽江（干流）、敖江（干流）、大樟溪（干流）河湖开发治理与保护现状、查找存在的突出问题，科学确定河湖治理与保护工作目标和主要任务，推动河湖环境持续向好。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1)报告编制数量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本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1)报告审查通过率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1)2023年项目当年完成率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1)河湖问题整改率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