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水利工程建设管理专项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水利工程建设管理专项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安全生态水系综合治理河长25.66公里,堤防建设及岸线整治提升.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1)补助县（市）区数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2)补助县区当年完工河道长度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公里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25.66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1)完工验收通过率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1)投资计划完成率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1)工程事故发生次数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