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山洪灾害防治建设项目（2022年度中央资金216万）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财政专项审核报告书1508，根据《福建省2022年度山洪灾害防治项目实施方案》组织开展山洪灾害防治非工程措施建设，完成山洪灾害补充调查评价、完成市县网络安全建设，持续开展群防群测体系建设，大幅提升我市山洪灾害公共服务能力、监测预警能力和群测群防能力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完成7个山洪灾害防治县共18个重点城集镇山洪灾害补充调查评价、完成市县网络安全建设、持续开展群防群测体系建设，大幅提升我市山洪灾害公共服务能力、监测预警能力和群测群防能力。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1)信息化建设成本控制率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1)采购货物数量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个、件、瓶、台、件、辆、套等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1)设备无故障运行率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1)系统故障修复响应时间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1)用户使用满意度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