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农村水利发展专项经费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农村水利发展专项经费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提升农村饮水安全项目10个，农村饮水受益人口 40000个，农村水利维修养护及农业综合水价改革10000亩。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2)改革面积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188800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1)农田灌溉水有效利用系数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0.585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0.586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1)null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424400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1)服务对象满意度指标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