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  2023年第四批中央水利救灾资金（转下达到县市区）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全市补助县市区水毁修复项目19个，2045万元，占总投资概算28.36%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1)补助县市区水毁修复项目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1)项目开工数量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处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2)项目实施方案评审通过率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42.11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1)工程施工设计标准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1)项目实施方案时效性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1)保障防洪工程安全度汛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1)保障居民社会生活平稳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1)促进地区生态和谐发展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1)上级主管单位满意度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2)服务群众满意度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