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转下达中央水利救灾资金（第二批）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全市补助水毁修复项目27个，1489万元，占总投资概算56.43%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14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1)补助县市区水毁修复项目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1)排查消除防洪安全隐患开工情况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处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2)水库（水电站）水毁修复数量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处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3)堤防（护岸）水毁修复数量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处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4)涵闸泵站水毁修复数量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处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1)工程施工设计标准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2)工程施工验收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3)工程施工监理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1)资金下达到省级6个月内预算执行率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1)保障防洪工程安全度汛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1)保障居民社会生活平稳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1)促进地区生态和谐发展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1)上级主管单位满意度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2)服务群众满意度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