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东部办公区租金及物业管理费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东部办公区租金及物业管理费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租金物业费全年执行率64.82%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91.48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64.82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6.48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1)解决办公用房面积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平方米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354.91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1)租金上缴率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1)预算资金下达及时率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