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河长制工作专项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河道专管员市级奖补资金、河湖长制年度工作一次性经费奖励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河道专管员积极履职，河湖“四乱”问题得到有效遏制，水环境水生态持续向好。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1)河湖问题整治率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1)河道专管员数量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1)河道巡查管护长度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5748.98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1)水质达标率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