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水利工程建设经费（农业处）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本项目由湾边排涝闸站工程、鳌峰（五孔）水闸改造工程、南港北岸防洪工程（盖山、义序段）修整项目（土建及泵闸部分）、闽江干流工程、东风排涝站改建工程等5个项目统筹使用。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劳务派遣人数5人，项目完成招投标次数4次，故障发生率为0，资金拨付及时率100%，项目实施过程中由施工方实际缴纳的税费567885元，投诉业务部门不作为的投诉件数量0件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2)项目完成招投标次数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次故障发生率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1)项目实施过程中由施工方实际缴纳的税费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567885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