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河长制办公室工作费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河长制办公室工作费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市已建立健全以党政领导负责制为核心，市县乡村四级的河湖长制组织体系。全省首次开展“幸福河湖福州行”主流媒体走基层系列报道活动；建立“河湖长+检察长”工作机制；常态化开展“一月一督查”、联合督查。全市河湖水质达到“十三五”以来最好水平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96.8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1)劳务派遣招聘成本控制率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1)督查次数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1)问题整改率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9.8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1)问题整改及时率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1)主要流域水质优良率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94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1)受益群众满意度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