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市级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闽江下游魁岐排涝工程</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本项目性质为防洪工程项目，目的是提高光明港地区排洪排涝能力，减少洪涝灾害损失。项目主要内容是在新孔五闸与魁岐排涝站之间新建魁岐排涝二站及其附属设施。项目估算总投资24328万元，建成后，将使项目所在地区的防洪标准达到200年一遇，排涝标准达到20年一遇涝水不满溢。</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1)工程维护率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1)劳务派遣人数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5</w:t>
      </w:r>
      <w:r>
        <w:rPr>
          <w:rFonts w:ascii="仿宋" w:hAnsi="仿宋" w:cs="仿宋" w:eastAsia="仿宋"/>
          <w:sz w:val="32"/>
        </w:rPr>
        <w:t>，完成值</w:t>
      </w:r>
      <w:r>
        <w:rPr>
          <w:rFonts w:ascii="仿宋" w:hAnsi="仿宋" w:cs="仿宋" w:eastAsia="仿宋"/>
          <w:sz w:val="32"/>
        </w:rPr>
        <w:t>5</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1)故障发生率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1)年度完成投资额</w:t>
      </w:r>
      <w:r>
        <w:rPr>
          <w:rFonts w:ascii="仿宋" w:hAnsi="仿宋" w:cs="仿宋" w:eastAsia="仿宋"/>
          <w:sz w:val="32"/>
        </w:rPr>
        <w:t>(</w:t>
      </w:r>
      <w:r>
        <w:rPr>
          <w:rFonts w:ascii="仿宋" w:hAnsi="仿宋" w:cs="仿宋" w:eastAsia="仿宋"/>
          <w:sz w:val="32"/>
        </w:rPr>
        <w:t>万</w:t>
      </w:r>
      <w:r>
        <w:rPr>
          <w:rFonts w:ascii="仿宋" w:hAnsi="仿宋" w:cs="仿宋" w:eastAsia="仿宋"/>
          <w:sz w:val="32"/>
        </w:rPr>
        <w:t>)，目标值</w:t>
      </w:r>
      <w:r>
        <w:rPr>
          <w:rFonts w:ascii="仿宋" w:hAnsi="仿宋" w:cs="仿宋" w:eastAsia="仿宋"/>
          <w:sz w:val="32"/>
        </w:rPr>
        <w:t>300</w:t>
      </w:r>
      <w:r>
        <w:rPr>
          <w:rFonts w:ascii="仿宋" w:hAnsi="仿宋" w:cs="仿宋" w:eastAsia="仿宋"/>
          <w:sz w:val="32"/>
        </w:rPr>
        <w:t>，完成值</w:t>
      </w:r>
      <w:r>
        <w:rPr>
          <w:rFonts w:ascii="仿宋" w:hAnsi="仿宋" w:cs="仿宋" w:eastAsia="仿宋"/>
          <w:sz w:val="32"/>
        </w:rPr>
        <w:t>380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1)周围村民对水利设施的满意度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