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2023年福州市鳌峰水闸重建工程第二次报送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工程重建水闸布置于旧闸线内港侧5.0m处，项目总投资13871.45万元，建设工期18个月。外江设计防洪标准为200年一遇，排涝标准为20年一遇，水闸建筑物等级为1级。由财政拨款项目。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劳务派遣人数105人，项目完成招投标次数1次，水闸设备等运行故障发生率为0，资金拨付及时率100%，成本控制率-0.01%，项目实施过程中由施工方实际缴纳的税费5678835元，投诉业务部门不作为的投诉件数量0件。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77.35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-0.01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0.35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2)项目完成招投标次数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1)项目实施过程中由施工方实际缴纳的税费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5678835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绩效目标值填错，实际已完成目标值                                        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绩效目标值填错，实际已完成目标值                              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