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福州市水土保持专项（2023市本级2）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开展2023年度开展水土保持宣传、科研、十四五中期评估、水土保持监督监测、水土保持项目方案审查、验收等工作。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开展常态化水土流失综合治理，水土流失率下降至6.51以下；水土流失综合治理监督性监测工作达到初步成效，监督检查通过率达到100%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1)成果报告审查通过率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1)完工及时率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1)水土流失率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6.64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