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闽清县省璜梅溪安全生态水系建设项目</w:t>
      </w:r>
    </w:p>
    <w:p>
      <w:pPr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实施方案评审意见</w:t>
      </w:r>
    </w:p>
    <w:p>
      <w:pPr>
        <w:spacing w:line="560" w:lineRule="auto"/>
        <w:jc w:val="center"/>
        <w:rPr>
          <w:rFonts w:ascii="仿宋" w:hAnsi="仿宋" w:eastAsia="仿宋" w:cs="仿宋_GB2312"/>
          <w:b/>
          <w:sz w:val="36"/>
        </w:rPr>
      </w:pP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</w:rPr>
      </w:pPr>
      <w:r>
        <w:rPr>
          <w:rFonts w:ascii="仿宋" w:hAnsi="仿宋" w:eastAsia="仿宋" w:cs="仿宋"/>
          <w:sz w:val="32"/>
          <w:szCs w:val="32"/>
        </w:rPr>
        <w:t xml:space="preserve"> 20</w:t>
      </w:r>
      <w:r>
        <w:rPr>
          <w:rFonts w:hint="eastAsia" w:ascii="仿宋" w:hAnsi="仿宋" w:eastAsia="仿宋" w:cs="仿宋"/>
          <w:sz w:val="32"/>
          <w:szCs w:val="32"/>
        </w:rPr>
        <w:t>20年6月5日</w:t>
      </w:r>
      <w:r>
        <w:rPr>
          <w:rFonts w:ascii="仿宋" w:hAnsi="仿宋" w:eastAsia="仿宋" w:cs="Times New Roman"/>
          <w:sz w:val="32"/>
          <w:szCs w:val="32"/>
        </w:rPr>
        <w:t>，福州市水利局组织专家在</w:t>
      </w:r>
      <w:r>
        <w:rPr>
          <w:rFonts w:hint="eastAsia" w:ascii="仿宋" w:hAnsi="仿宋" w:eastAsia="仿宋" w:cs="Times New Roman"/>
          <w:sz w:val="32"/>
          <w:szCs w:val="32"/>
        </w:rPr>
        <w:t>闽清县省璜镇</w:t>
      </w:r>
      <w:r>
        <w:rPr>
          <w:rFonts w:ascii="仿宋" w:hAnsi="仿宋" w:eastAsia="仿宋" w:cs="Times New Roman"/>
          <w:sz w:val="32"/>
          <w:szCs w:val="32"/>
        </w:rPr>
        <w:t>召开《</w:t>
      </w:r>
      <w:r>
        <w:rPr>
          <w:rFonts w:hint="eastAsia" w:ascii="仿宋" w:hAnsi="仿宋" w:eastAsia="仿宋" w:cs="Times New Roman"/>
          <w:sz w:val="32"/>
          <w:szCs w:val="32"/>
        </w:rPr>
        <w:t>闽清县省璜梅溪安全生态水系建设项目实施方案</w:t>
      </w:r>
      <w:r>
        <w:rPr>
          <w:rFonts w:ascii="仿宋" w:hAnsi="仿宋" w:eastAsia="仿宋" w:cs="Times New Roman"/>
          <w:sz w:val="32"/>
          <w:szCs w:val="32"/>
        </w:rPr>
        <w:t>》（以下简称《实施方案》）审查会。</w:t>
      </w:r>
      <w:r>
        <w:rPr>
          <w:rFonts w:hint="eastAsia" w:ascii="仿宋" w:hAnsi="仿宋" w:eastAsia="仿宋" w:cs="Times New Roman"/>
          <w:sz w:val="32"/>
          <w:szCs w:val="32"/>
        </w:rPr>
        <w:t>参加会议的有闽清县水利局、闽清县省璜镇人民政府、下坂村委会、山边村委会、省汾村委会、建功村委会、闽清县防洪工程建设有限公司（项目业主）、福建省建江水利水电设计咨询有限公司（设计单位）等单位的代表及评审专家。</w:t>
      </w:r>
      <w:r>
        <w:rPr>
          <w:rFonts w:ascii="仿宋" w:hAnsi="仿宋" w:eastAsia="仿宋" w:cs="Times New Roman"/>
          <w:sz w:val="32"/>
          <w:szCs w:val="32"/>
        </w:rPr>
        <w:t>与会专家代表会前踏勘了项目现场，会议听取了设计单位关于《实施方案》主要内容的汇报和有关部门的意见，形成了审查意见</w:t>
      </w:r>
      <w:r>
        <w:rPr>
          <w:rFonts w:ascii="仿宋" w:hAnsi="仿宋" w:eastAsia="仿宋" w:cs="Times New Roman"/>
          <w:sz w:val="32"/>
        </w:rPr>
        <w:t>。设计单位根据审查意见对《实施方案》进行修改</w:t>
      </w:r>
      <w:r>
        <w:rPr>
          <w:rFonts w:hint="eastAsia" w:ascii="仿宋" w:hAnsi="仿宋" w:eastAsia="仿宋" w:cs="Times New Roman"/>
          <w:sz w:val="32"/>
        </w:rPr>
        <w:t>完善后提交</w:t>
      </w:r>
      <w:r>
        <w:rPr>
          <w:rFonts w:hint="eastAsia" w:ascii="仿宋" w:hAnsi="仿宋" w:eastAsia="仿宋" w:cs="Times New Roman"/>
          <w:sz w:val="32"/>
          <w:lang w:eastAsia="zh-CN"/>
        </w:rPr>
        <w:t>了</w:t>
      </w:r>
      <w:r>
        <w:rPr>
          <w:rFonts w:hint="eastAsia" w:ascii="仿宋" w:hAnsi="仿宋" w:eastAsia="仿宋" w:cs="Times New Roman"/>
          <w:sz w:val="32"/>
        </w:rPr>
        <w:t>《实施方案》(报批稿</w:t>
      </w:r>
      <w:r>
        <w:rPr>
          <w:rFonts w:ascii="仿宋" w:hAnsi="仿宋" w:eastAsia="仿宋" w:cs="Times New Roman"/>
          <w:sz w:val="32"/>
        </w:rPr>
        <w:t>)</w:t>
      </w:r>
      <w:r>
        <w:rPr>
          <w:rFonts w:hint="eastAsia" w:ascii="仿宋" w:hAnsi="仿宋" w:eastAsia="仿宋" w:cs="Times New Roman"/>
          <w:sz w:val="32"/>
        </w:rPr>
        <w:t>，经</w:t>
      </w:r>
      <w:bookmarkStart w:id="0" w:name="_GoBack"/>
      <w:bookmarkEnd w:id="0"/>
      <w:r>
        <w:rPr>
          <w:rFonts w:hint="eastAsia" w:ascii="仿宋" w:hAnsi="仿宋" w:eastAsia="仿宋" w:cs="Times New Roman"/>
          <w:sz w:val="32"/>
        </w:rPr>
        <w:t>专家复审，</w:t>
      </w:r>
      <w:r>
        <w:rPr>
          <w:rFonts w:ascii="仿宋" w:hAnsi="仿宋" w:eastAsia="仿宋"/>
          <w:sz w:val="32"/>
          <w:szCs w:val="32"/>
        </w:rPr>
        <w:t>认为《实施方案》（报批稿）基本符合福建省人民政府办公厅转发省水利厅、省财政厅《关于开展万里安全生态水系建设的实施意见的通知》（闽政办〔2015〕99号）和《福建省安全生态水系建设指南》（省水利厅，2017年12月）的文件要求，</w:t>
      </w:r>
      <w:r>
        <w:rPr>
          <w:rFonts w:hint="eastAsia" w:ascii="仿宋" w:hAnsi="仿宋" w:eastAsia="仿宋" w:cs="仿宋"/>
          <w:sz w:val="32"/>
          <w:szCs w:val="32"/>
        </w:rPr>
        <w:t>基础资料较为齐全，现状及空间调查较为详细，问题分析较为全面，总体目标及控制性指标明确，总体布局基本合理，设计方案基本可行，</w:t>
      </w:r>
      <w:r>
        <w:rPr>
          <w:rFonts w:ascii="仿宋" w:hAnsi="仿宋" w:eastAsia="仿宋"/>
          <w:sz w:val="32"/>
          <w:szCs w:val="32"/>
        </w:rPr>
        <w:t>主要评审意见如下：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一、项目区基本情况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（一）</w:t>
      </w:r>
      <w:r>
        <w:rPr>
          <w:rFonts w:ascii="仿宋" w:hAnsi="仿宋" w:eastAsia="仿宋" w:cs="Times New Roman"/>
          <w:sz w:val="32"/>
          <w:szCs w:val="32"/>
        </w:rPr>
        <w:t>《实施方案》（报批稿）介绍的项目区情况基本合适。</w:t>
      </w:r>
    </w:p>
    <w:p>
      <w:pPr>
        <w:spacing w:line="540" w:lineRule="exact"/>
        <w:ind w:firstLine="641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（二）本工程项目区位于</w:t>
      </w:r>
      <w:r>
        <w:rPr>
          <w:rFonts w:hint="eastAsia" w:ascii="仿宋" w:hAnsi="仿宋" w:eastAsia="仿宋" w:cs="Times New Roman"/>
          <w:sz w:val="32"/>
          <w:szCs w:val="32"/>
        </w:rPr>
        <w:t>闽清县省璜镇</w:t>
      </w:r>
      <w:r>
        <w:rPr>
          <w:rFonts w:ascii="仿宋" w:hAnsi="仿宋" w:eastAsia="仿宋" w:cs="Times New Roman"/>
          <w:sz w:val="32"/>
          <w:szCs w:val="32"/>
        </w:rPr>
        <w:t>，本次安全生态</w:t>
      </w:r>
      <w:r>
        <w:rPr>
          <w:rFonts w:ascii="仿宋" w:hAnsi="仿宋" w:eastAsia="仿宋" w:cs="仿宋"/>
          <w:sz w:val="32"/>
          <w:szCs w:val="32"/>
        </w:rPr>
        <w:t>水系建设项目总长度约为10.007km，</w:t>
      </w:r>
      <w:r>
        <w:rPr>
          <w:rFonts w:hint="eastAsia" w:ascii="仿宋" w:hAnsi="仿宋" w:eastAsia="仿宋" w:cs="仿宋"/>
          <w:sz w:val="32"/>
          <w:szCs w:val="32"/>
        </w:rPr>
        <w:t>河段分为一条主流以及两条支流，主流为梅溪，长7</w:t>
      </w:r>
      <w:r>
        <w:rPr>
          <w:rFonts w:ascii="仿宋" w:hAnsi="仿宋" w:eastAsia="仿宋" w:cs="仿宋"/>
          <w:sz w:val="32"/>
          <w:szCs w:val="32"/>
        </w:rPr>
        <w:t>.459km</w:t>
      </w:r>
      <w:r>
        <w:rPr>
          <w:rFonts w:hint="eastAsia" w:ascii="仿宋" w:hAnsi="仿宋" w:eastAsia="仿宋" w:cs="仿宋"/>
          <w:sz w:val="32"/>
          <w:szCs w:val="32"/>
        </w:rPr>
        <w:t>，两条支流分别为省汾溪以及岭里溪，其中省汾溪支流长1.260km，岭里溪支流长1.288km。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二、现状调查与评价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基本同意项目现状调查成果与评价结论。</w:t>
      </w:r>
    </w:p>
    <w:p>
      <w:pPr>
        <w:ind w:firstLine="56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本项目区省璜梅溪主流以及支流省汾溪、岭里溪支流段水质为满足Ⅲ类水标准，水质较好，</w:t>
      </w:r>
      <w:r>
        <w:rPr>
          <w:rFonts w:ascii="仿宋" w:hAnsi="仿宋" w:eastAsia="仿宋" w:cs="Times New Roman"/>
          <w:sz w:val="32"/>
          <w:szCs w:val="32"/>
        </w:rPr>
        <w:t>达到水功能区划的要求。</w:t>
      </w:r>
      <w:r>
        <w:rPr>
          <w:rFonts w:hint="eastAsia" w:ascii="仿宋" w:hAnsi="仿宋" w:eastAsia="仿宋" w:cs="Times New Roman"/>
          <w:sz w:val="32"/>
          <w:szCs w:val="32"/>
        </w:rPr>
        <w:t>项目区河道两岸绿化水平较高,河床常年流水不断，大部分河段水流清澈，水体感官良好。项目区河段水体连通总体较好，水体常年流动，河道自然弯曲，有深潭、有浅滩、泛洪漫滩，有天然的砂石水草、江心洲等，生态状况较为完好。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三、建设目标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（一）功能定位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项目区生态环境优越，开发强度较低，基本保留了原生态的河流，生态涵养功能突出。结合《福建省主体功能区规划》、《福建省水功能区划》、《福建省生态功能区划》、《闽清县城市总体规划（2008——2020）》中的项目的主体功能区划、水功能区划及河流特点，项目区河流的功能定位为“行洪排涝安全、保证工农生产与生态用水、生态景观宜人”的乡村郊野生态河流。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（二）总体目标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在保障河道行洪排涝安全前提下，实施河道岸线和河岸生态保护蓝线制度，实施生态保护、生态修复和改善河水等各项措施，基本实现</w:t>
      </w:r>
      <w:r>
        <w:rPr>
          <w:rFonts w:hint="eastAsia" w:ascii="仿宋" w:hAnsi="仿宋" w:eastAsia="仿宋" w:cs="Times New Roman"/>
          <w:sz w:val="32"/>
          <w:szCs w:val="32"/>
        </w:rPr>
        <w:t>花园溪</w:t>
      </w:r>
      <w:r>
        <w:rPr>
          <w:rFonts w:ascii="仿宋" w:hAnsi="仿宋" w:eastAsia="仿宋" w:cs="Times New Roman"/>
          <w:sz w:val="32"/>
          <w:szCs w:val="32"/>
        </w:rPr>
        <w:t>“河畅、水清、岸绿、</w:t>
      </w:r>
      <w:r>
        <w:rPr>
          <w:rFonts w:hint="eastAsia" w:ascii="仿宋" w:hAnsi="仿宋" w:eastAsia="仿宋" w:cs="Times New Roman"/>
          <w:sz w:val="32"/>
          <w:szCs w:val="32"/>
        </w:rPr>
        <w:t>景美</w:t>
      </w:r>
      <w:r>
        <w:rPr>
          <w:rFonts w:ascii="仿宋" w:hAnsi="仿宋" w:eastAsia="仿宋" w:cs="Times New Roman"/>
          <w:sz w:val="32"/>
          <w:szCs w:val="32"/>
        </w:rPr>
        <w:t>、安全、生态”的总体目标。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四、建设布局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基本同意</w:t>
      </w:r>
      <w:r>
        <w:rPr>
          <w:rFonts w:hint="eastAsia" w:ascii="仿宋" w:hAnsi="仿宋" w:eastAsia="仿宋" w:cs="Times New Roman"/>
          <w:sz w:val="32"/>
          <w:szCs w:val="32"/>
        </w:rPr>
        <w:t>闽清县省璜梅溪安全生态水系建设</w:t>
      </w:r>
      <w:r>
        <w:rPr>
          <w:rFonts w:ascii="仿宋" w:hAnsi="仿宋" w:eastAsia="仿宋" w:cs="Times New Roman"/>
          <w:sz w:val="32"/>
          <w:szCs w:val="32"/>
        </w:rPr>
        <w:t>总体布局</w:t>
      </w:r>
      <w:r>
        <w:rPr>
          <w:rFonts w:hint="eastAsia" w:ascii="仿宋" w:hAnsi="仿宋" w:eastAsia="仿宋" w:cs="Times New Roman"/>
          <w:sz w:val="32"/>
          <w:szCs w:val="32"/>
        </w:rPr>
        <w:t>，将项目区河道划分为</w:t>
      </w:r>
      <w:r>
        <w:rPr>
          <w:rFonts w:ascii="仿宋" w:hAnsi="仿宋" w:eastAsia="仿宋" w:cs="Times New Roman"/>
          <w:sz w:val="32"/>
          <w:szCs w:val="32"/>
        </w:rPr>
        <w:t>“</w:t>
      </w:r>
      <w:r>
        <w:rPr>
          <w:rFonts w:hint="eastAsia" w:ascii="仿宋" w:hAnsi="仿宋" w:eastAsia="仿宋" w:cs="Times New Roman"/>
          <w:sz w:val="32"/>
          <w:szCs w:val="32"/>
        </w:rPr>
        <w:t>一轴、三区、多河段”的空间布局。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一轴</w:t>
      </w:r>
      <w:r>
        <w:rPr>
          <w:rFonts w:ascii="仿宋" w:hAnsi="仿宋" w:eastAsia="仿宋" w:cs="Times New Roman"/>
          <w:sz w:val="32"/>
          <w:szCs w:val="32"/>
        </w:rPr>
        <w:t>：</w:t>
      </w:r>
      <w:r>
        <w:rPr>
          <w:rFonts w:hint="eastAsia" w:ascii="仿宋" w:hAnsi="仿宋" w:eastAsia="仿宋" w:cs="Times New Roman"/>
          <w:sz w:val="32"/>
          <w:szCs w:val="32"/>
        </w:rPr>
        <w:t>既梅溪—省汾溪—岭里溪生态廊道。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三区：依据环境特性以及工程措施的不同，将项目分为“三区”，即生态修复区、滨水提升区、生态涵养区。</w:t>
      </w:r>
    </w:p>
    <w:p>
      <w:pPr>
        <w:spacing w:line="540" w:lineRule="exact"/>
        <w:ind w:firstLine="641"/>
        <w:jc w:val="left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（1）生态修复区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生态修复区范围为省汾溪终点至上院水电站上游120m现状滚水坝（桩号MX0+000～MX2+325）以及省汾溪南乾村口至梅溪主流（桩号SF0+000～SF1+260），该区主要为省汾村以及省璜镇镇区所在地，河道两岸大部分为居民房以及公路，河流生态主要受到人类生活的影响。本河段治理思路主要是针对农田段，新建生态护岸提升该段防冲刷能力，同时对于城镇居民段，加强河岸的生态保护管理，对于部分淤积较严重的区域进行清淤处理，已达到生态修复的目的。</w:t>
      </w:r>
    </w:p>
    <w:p>
      <w:pPr>
        <w:spacing w:line="540" w:lineRule="exact"/>
        <w:ind w:firstLine="641"/>
        <w:jc w:val="left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（2）滨水提升区</w:t>
      </w:r>
    </w:p>
    <w:p>
      <w:pPr>
        <w:spacing w:line="540" w:lineRule="exact"/>
        <w:ind w:firstLine="641"/>
        <w:jc w:val="left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滨水提升区范围为上院水电站上游120m现状滚水坝至梅溪下游下坂村下坂桥（桩号MX2+325～MX5+320）以及岭里溪新建廊桥至梅溪主流（桩号LL0+000～LL1+288），该区两岸主要为农田以及居民房，本区域已有部分河道已建有现状堤防，但局部段仍存在受损以及未设防护岸。治理思路主要为设防河段新建生态护岸，逐步健全防洪体系，同时新建景观节点，生态亲水措施相结合，达到滨水提升目的。</w:t>
      </w:r>
    </w:p>
    <w:p>
      <w:pPr>
        <w:spacing w:line="540" w:lineRule="exact"/>
        <w:ind w:firstLine="641"/>
        <w:jc w:val="left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（3）生态涵养区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生态涵养区范围为梅溪下游下坂村下坂桥至和尚乾（桩号MX5+320～MX7+459），该区域特点为两岸多为低山丘陵地貌，两岸主要为道公以及部分农田，河流生态两岸居民活动影响较小，治理思路主要为河道清淤，同时加强保护河道生态环境，达到生态涵养保护的目的。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“多河段”：即生态修复区、滨水提升区、生态涵养区设置的多段生态护岸，具体护岸为：</w:t>
      </w:r>
    </w:p>
    <w:p>
      <w:pPr>
        <w:spacing w:line="540" w:lineRule="exact"/>
        <w:ind w:firstLine="641"/>
        <w:jc w:val="left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A、省汾村段SFZ0+000～SFZ0+420、SFY0+000～SFY0+083；</w:t>
      </w:r>
    </w:p>
    <w:p>
      <w:pPr>
        <w:spacing w:line="540" w:lineRule="exact"/>
        <w:ind w:firstLine="641"/>
        <w:jc w:val="left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B、山边村段SBA0+000～SBA0+079、SBB0+000～SBB0+156、SBC0+000～SBC0+142；</w:t>
      </w:r>
    </w:p>
    <w:p>
      <w:pPr>
        <w:spacing w:line="540" w:lineRule="exact"/>
        <w:ind w:firstLine="641"/>
        <w:jc w:val="left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C、建功村段JG0+000～JG0+637；</w:t>
      </w:r>
    </w:p>
    <w:p>
      <w:pPr>
        <w:spacing w:line="540" w:lineRule="exact"/>
        <w:ind w:firstLine="641"/>
        <w:jc w:val="left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D、下坂村段XB0+000～XB0+434。</w:t>
      </w:r>
    </w:p>
    <w:p>
      <w:pPr>
        <w:spacing w:line="540" w:lineRule="exact"/>
        <w:ind w:firstLine="960" w:firstLineChars="3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五、建设方案设计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基本同意围绕“八有”具体要求提出的本项目建设方案设计。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(</w:t>
      </w:r>
      <w:r>
        <w:rPr>
          <w:rFonts w:hint="eastAsia" w:ascii="仿宋" w:hAnsi="仿宋" w:eastAsia="仿宋" w:cs="Times New Roman"/>
          <w:sz w:val="32"/>
          <w:szCs w:val="32"/>
        </w:rPr>
        <w:t>一</w:t>
      </w:r>
      <w:r>
        <w:rPr>
          <w:rFonts w:ascii="仿宋" w:hAnsi="仿宋" w:eastAsia="仿宋" w:cs="Times New Roman"/>
          <w:sz w:val="32"/>
          <w:szCs w:val="32"/>
        </w:rPr>
        <w:t>)基本同意本项目安全生态水系建设内容，主要包括“</w:t>
      </w:r>
      <w:r>
        <w:rPr>
          <w:rFonts w:hint="eastAsia" w:ascii="仿宋" w:hAnsi="仿宋" w:eastAsia="仿宋" w:cs="Times New Roman"/>
          <w:sz w:val="32"/>
          <w:szCs w:val="32"/>
        </w:rPr>
        <w:t>生态保护设计</w:t>
      </w:r>
      <w:r>
        <w:rPr>
          <w:rFonts w:ascii="仿宋" w:hAnsi="仿宋" w:eastAsia="仿宋" w:cs="Times New Roman"/>
          <w:sz w:val="32"/>
          <w:szCs w:val="32"/>
        </w:rPr>
        <w:t>、</w:t>
      </w:r>
      <w:r>
        <w:rPr>
          <w:rFonts w:hint="eastAsia" w:ascii="仿宋" w:hAnsi="仿宋" w:eastAsia="仿宋" w:cs="Times New Roman"/>
          <w:sz w:val="32"/>
          <w:szCs w:val="32"/>
        </w:rPr>
        <w:t>生态修复设计</w:t>
      </w:r>
      <w:r>
        <w:rPr>
          <w:rFonts w:ascii="仿宋" w:hAnsi="仿宋" w:eastAsia="仿宋" w:cs="Times New Roman"/>
          <w:sz w:val="32"/>
          <w:szCs w:val="32"/>
        </w:rPr>
        <w:t>、</w:t>
      </w:r>
      <w:r>
        <w:rPr>
          <w:rFonts w:hint="eastAsia" w:ascii="仿宋" w:hAnsi="仿宋" w:eastAsia="仿宋" w:cs="Times New Roman"/>
          <w:sz w:val="32"/>
          <w:szCs w:val="32"/>
        </w:rPr>
        <w:t>生态水利设计</w:t>
      </w:r>
      <w:r>
        <w:rPr>
          <w:rFonts w:ascii="仿宋" w:hAnsi="仿宋" w:eastAsia="仿宋" w:cs="Times New Roman"/>
          <w:sz w:val="32"/>
          <w:szCs w:val="32"/>
        </w:rPr>
        <w:t>、</w:t>
      </w:r>
      <w:r>
        <w:rPr>
          <w:rFonts w:hint="eastAsia" w:ascii="仿宋" w:hAnsi="仿宋" w:eastAsia="仿宋" w:cs="Times New Roman"/>
          <w:sz w:val="32"/>
          <w:szCs w:val="32"/>
        </w:rPr>
        <w:t>生态亲水设计、标识管理设计</w:t>
      </w:r>
      <w:r>
        <w:rPr>
          <w:rFonts w:ascii="仿宋" w:hAnsi="仿宋" w:eastAsia="仿宋" w:cs="Times New Roman"/>
          <w:sz w:val="32"/>
          <w:szCs w:val="32"/>
        </w:rPr>
        <w:t>”等方面措施，项目清单详见附表。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(</w:t>
      </w:r>
      <w:r>
        <w:rPr>
          <w:rFonts w:hint="eastAsia" w:ascii="仿宋" w:hAnsi="仿宋" w:eastAsia="仿宋" w:cs="Times New Roman"/>
          <w:sz w:val="32"/>
          <w:szCs w:val="32"/>
        </w:rPr>
        <w:t>二</w:t>
      </w:r>
      <w:r>
        <w:rPr>
          <w:rFonts w:ascii="仿宋" w:hAnsi="仿宋" w:eastAsia="仿宋" w:cs="Times New Roman"/>
          <w:sz w:val="32"/>
          <w:szCs w:val="32"/>
        </w:rPr>
        <w:t>)实施进度安排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基本同意施工总工期为10个月。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六、投资概算及资金筹措方案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（一）</w:t>
      </w:r>
      <w:r>
        <w:rPr>
          <w:rFonts w:ascii="仿宋" w:hAnsi="仿宋" w:eastAsia="仿宋" w:cs="Times New Roman"/>
          <w:sz w:val="32"/>
          <w:szCs w:val="32"/>
        </w:rPr>
        <w:t>投资概算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1、同意工程投资概算的编制依据，采用的定额和取费标准。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2、</w:t>
      </w:r>
      <w:r>
        <w:rPr>
          <w:rFonts w:hint="eastAsia" w:ascii="仿宋" w:hAnsi="仿宋" w:eastAsia="仿宋" w:cs="Times New Roman"/>
          <w:sz w:val="32"/>
          <w:szCs w:val="32"/>
        </w:rPr>
        <w:t>本工程总投资为</w:t>
      </w:r>
      <w:r>
        <w:rPr>
          <w:rFonts w:ascii="仿宋" w:hAnsi="仿宋" w:eastAsia="仿宋" w:cs="Times New Roman"/>
          <w:sz w:val="32"/>
          <w:szCs w:val="32"/>
        </w:rPr>
        <w:t>1814.10</w:t>
      </w:r>
      <w:r>
        <w:rPr>
          <w:rFonts w:hint="eastAsia" w:ascii="仿宋" w:hAnsi="仿宋" w:eastAsia="仿宋" w:cs="Times New Roman"/>
          <w:sz w:val="32"/>
          <w:szCs w:val="32"/>
        </w:rPr>
        <w:t>万元，其中工程部分总投资为1763.09万元</w:t>
      </w:r>
      <w:r>
        <w:rPr>
          <w:rFonts w:ascii="仿宋" w:hAnsi="仿宋" w:eastAsia="仿宋" w:cs="Times New Roman"/>
          <w:sz w:val="32"/>
          <w:szCs w:val="32"/>
        </w:rPr>
        <w:t>。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(二)资金筹措方案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同意项目资金筹措方案为：</w:t>
      </w:r>
      <w:r>
        <w:rPr>
          <w:rFonts w:hint="eastAsia" w:ascii="仿宋" w:hAnsi="仿宋" w:eastAsia="仿宋" w:cs="Times New Roman"/>
          <w:sz w:val="32"/>
          <w:szCs w:val="32"/>
        </w:rPr>
        <w:t>采用万里生态水系专项拨款与地方自筹资金相结合的方式</w:t>
      </w:r>
      <w:r>
        <w:rPr>
          <w:rFonts w:ascii="仿宋" w:hAnsi="仿宋" w:eastAsia="仿宋" w:cs="Times New Roman"/>
          <w:sz w:val="32"/>
          <w:szCs w:val="32"/>
        </w:rPr>
        <w:t>。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七、管理建设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基本同意建设期管理、竣工验收要求、运行期管理内容。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八、建议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 xml:space="preserve"> (</w:t>
      </w:r>
      <w:r>
        <w:rPr>
          <w:rFonts w:hint="eastAsia" w:ascii="仿宋" w:hAnsi="仿宋" w:eastAsia="仿宋" w:cs="Times New Roman"/>
          <w:sz w:val="32"/>
          <w:szCs w:val="32"/>
        </w:rPr>
        <w:t>一</w:t>
      </w:r>
      <w:r>
        <w:rPr>
          <w:rFonts w:ascii="仿宋" w:hAnsi="仿宋" w:eastAsia="仿宋" w:cs="Times New Roman"/>
          <w:sz w:val="32"/>
          <w:szCs w:val="32"/>
        </w:rPr>
        <w:t>)做好项目区内已建和拟建的其他水利项目与本项目的有机融合。</w:t>
      </w:r>
    </w:p>
    <w:p>
      <w:pPr>
        <w:spacing w:line="540" w:lineRule="exact"/>
        <w:ind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附：</w:t>
      </w:r>
      <w:r>
        <w:rPr>
          <w:rFonts w:hint="eastAsia" w:ascii="仿宋" w:hAnsi="仿宋" w:eastAsia="仿宋" w:cs="Times New Roman"/>
          <w:sz w:val="32"/>
          <w:szCs w:val="32"/>
        </w:rPr>
        <w:t>项目总体布局图</w:t>
      </w:r>
    </w:p>
    <w:p>
      <w:pPr>
        <w:ind w:left="630" w:leftChars="300" w:firstLine="641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工程建设清单表</w:t>
      </w:r>
    </w:p>
    <w:p>
      <w:pPr>
        <w:ind w:left="630" w:leftChars="300" w:firstLine="641"/>
        <w:jc w:val="left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工程特性表</w:t>
      </w:r>
    </w:p>
    <w:p>
      <w:pPr>
        <w:jc w:val="left"/>
        <w:rPr>
          <w:rFonts w:ascii="仿宋" w:hAnsi="仿宋" w:eastAsia="仿宋" w:cs="Times New Roman"/>
          <w:sz w:val="32"/>
          <w:szCs w:val="32"/>
        </w:rPr>
      </w:pPr>
    </w:p>
    <w:p>
      <w:pPr>
        <w:ind w:firstLine="4816" w:firstLineChars="1505"/>
        <w:jc w:val="left"/>
        <w:rPr>
          <w:rFonts w:ascii="仿宋" w:hAnsi="仿宋" w:eastAsia="仿宋" w:cs="Times New Roman"/>
          <w:sz w:val="32"/>
          <w:szCs w:val="32"/>
        </w:rPr>
      </w:pPr>
    </w:p>
    <w:p>
      <w:pPr>
        <w:ind w:firstLine="4816" w:firstLineChars="1505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2020</w:t>
      </w:r>
      <w:r>
        <w:rPr>
          <w:rFonts w:hint="eastAsia" w:ascii="仿宋" w:hAnsi="仿宋" w:eastAsia="仿宋" w:cs="Times New Roman"/>
          <w:sz w:val="32"/>
          <w:szCs w:val="32"/>
        </w:rPr>
        <w:t>年</w:t>
      </w:r>
      <w:r>
        <w:rPr>
          <w:rFonts w:ascii="仿宋" w:hAnsi="仿宋" w:eastAsia="仿宋" w:cs="Times New Roman"/>
          <w:sz w:val="32"/>
          <w:szCs w:val="32"/>
        </w:rPr>
        <w:t>7</w:t>
      </w:r>
      <w:r>
        <w:rPr>
          <w:rFonts w:hint="eastAsia" w:ascii="仿宋" w:hAnsi="仿宋" w:eastAsia="仿宋" w:cs="Times New Roman"/>
          <w:sz w:val="32"/>
          <w:szCs w:val="32"/>
        </w:rPr>
        <w:t>月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21</w:t>
      </w:r>
      <w:r>
        <w:rPr>
          <w:rFonts w:hint="eastAsia" w:ascii="仿宋" w:hAnsi="仿宋" w:eastAsia="仿宋" w:cs="Times New Roman"/>
          <w:sz w:val="32"/>
          <w:szCs w:val="32"/>
        </w:rPr>
        <w:t>日</w:t>
      </w:r>
    </w:p>
    <w:p>
      <w:pPr>
        <w:ind w:firstLine="641"/>
        <w:jc w:val="left"/>
        <w:rPr>
          <w:rFonts w:ascii="仿宋" w:hAnsi="仿宋" w:eastAsia="仿宋" w:cs="Times New Roman"/>
          <w:sz w:val="32"/>
          <w:szCs w:val="32"/>
        </w:rPr>
      </w:pPr>
    </w:p>
    <w:p>
      <w:pPr>
        <w:ind w:firstLine="641"/>
        <w:jc w:val="left"/>
        <w:rPr>
          <w:rFonts w:ascii="仿宋" w:hAnsi="仿宋" w:eastAsia="仿宋" w:cs="Times New Roman"/>
          <w:sz w:val="32"/>
          <w:szCs w:val="32"/>
        </w:rPr>
        <w:sectPr>
          <w:footerReference r:id="rId3" w:type="default"/>
          <w:pgSz w:w="11907" w:h="16839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1487150" cy="762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" t="2636" r="843" b="5663"/>
                    <a:stretch>
                      <a:fillRect/>
                    </a:stretch>
                  </pic:blipFill>
                  <pic:spPr>
                    <a:xfrm>
                      <a:off x="0" y="0"/>
                      <a:ext cx="11487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项目总体</w:t>
      </w:r>
      <w:r>
        <w:rPr>
          <w:rFonts w:ascii="仿宋" w:hAnsi="仿宋" w:eastAsia="仿宋"/>
          <w:b/>
          <w:sz w:val="28"/>
        </w:rPr>
        <w:t>布局图</w:t>
      </w:r>
      <w:r>
        <w:rPr>
          <w:rFonts w:ascii="仿宋" w:hAnsi="仿宋" w:eastAsia="仿宋"/>
          <w:b/>
          <w:sz w:val="28"/>
        </w:rPr>
        <w:br w:type="page"/>
      </w:r>
    </w:p>
    <w:p>
      <w:pPr>
        <w:spacing w:line="480" w:lineRule="auto"/>
        <w:jc w:val="center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工程建设清单表</w:t>
      </w:r>
    </w:p>
    <w:tbl>
      <w:tblPr>
        <w:tblStyle w:val="7"/>
        <w:tblW w:w="2161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3"/>
        <w:gridCol w:w="2278"/>
        <w:gridCol w:w="1686"/>
        <w:gridCol w:w="1128"/>
        <w:gridCol w:w="1444"/>
        <w:gridCol w:w="3631"/>
        <w:gridCol w:w="4383"/>
        <w:gridCol w:w="1664"/>
        <w:gridCol w:w="453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分区</w:t>
            </w:r>
          </w:p>
        </w:tc>
        <w:tc>
          <w:tcPr>
            <w:tcW w:w="396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区段</w:t>
            </w:r>
          </w:p>
        </w:tc>
        <w:tc>
          <w:tcPr>
            <w:tcW w:w="11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长度（Km）</w:t>
            </w:r>
          </w:p>
        </w:tc>
        <w:tc>
          <w:tcPr>
            <w:tcW w:w="14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主要措施</w:t>
            </w:r>
          </w:p>
        </w:tc>
        <w:tc>
          <w:tcPr>
            <w:tcW w:w="36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建设位置</w:t>
            </w:r>
          </w:p>
        </w:tc>
        <w:tc>
          <w:tcPr>
            <w:tcW w:w="43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建设内容</w:t>
            </w:r>
          </w:p>
        </w:tc>
        <w:tc>
          <w:tcPr>
            <w:tcW w:w="16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总体目标</w:t>
            </w:r>
          </w:p>
        </w:tc>
        <w:tc>
          <w:tcPr>
            <w:tcW w:w="45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具体目标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0" w:hRule="atLeast"/>
          <w:jc w:val="center"/>
        </w:trPr>
        <w:tc>
          <w:tcPr>
            <w:tcW w:w="86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全区</w:t>
            </w:r>
          </w:p>
        </w:tc>
        <w:tc>
          <w:tcPr>
            <w:tcW w:w="2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MX0+000～MX7+459</w:t>
            </w:r>
            <w:r>
              <w:rPr>
                <w:rFonts w:hint="eastAsia"/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SF0+000～SF1+260</w:t>
            </w:r>
            <w:r>
              <w:rPr>
                <w:rFonts w:hint="eastAsia"/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LL0+000～LL1+288</w:t>
            </w:r>
          </w:p>
        </w:tc>
        <w:tc>
          <w:tcPr>
            <w:tcW w:w="1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梅溪</w:t>
            </w:r>
            <w:r>
              <w:rPr>
                <w:rFonts w:hint="eastAsia"/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省汾溪</w:t>
            </w:r>
            <w:r>
              <w:rPr>
                <w:rFonts w:hint="eastAsia"/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岭里溪</w:t>
            </w:r>
          </w:p>
        </w:tc>
        <w:tc>
          <w:tcPr>
            <w:tcW w:w="11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10.007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生态保护</w:t>
            </w:r>
            <w:r>
              <w:rPr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生态修复</w:t>
            </w:r>
            <w:r>
              <w:rPr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生态水利</w:t>
            </w:r>
            <w:r>
              <w:rPr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生态亲水</w:t>
            </w:r>
            <w:r>
              <w:rPr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标识管理</w:t>
            </w:r>
          </w:p>
        </w:tc>
        <w:tc>
          <w:tcPr>
            <w:tcW w:w="3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汇合口至和尚乾桥下400m</w:t>
            </w:r>
            <w:r>
              <w:rPr>
                <w:rFonts w:hint="eastAsia"/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（桩号MX0+000～MX7+459）</w:t>
            </w:r>
            <w:r>
              <w:rPr>
                <w:rFonts w:hint="eastAsia"/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省份村村口至梅溪主流</w:t>
            </w:r>
            <w:r>
              <w:rPr>
                <w:rFonts w:hint="eastAsia"/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（SF0+000～SF1+260）</w:t>
            </w:r>
            <w:r>
              <w:rPr>
                <w:rFonts w:hint="eastAsia"/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岭里溪新建廊桥至梅溪主流</w:t>
            </w:r>
            <w:r>
              <w:rPr>
                <w:rFonts w:hint="eastAsia"/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（LL0+000～LL1+288)</w:t>
            </w:r>
          </w:p>
        </w:tc>
        <w:tc>
          <w:tcPr>
            <w:tcW w:w="4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岸线蓝线划定10.007km，新建护岸1.951m，清淤清障2.935km，生态节点4处，界桩100座等</w:t>
            </w:r>
          </w:p>
        </w:tc>
        <w:tc>
          <w:tcPr>
            <w:tcW w:w="16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河畅</w:t>
            </w:r>
            <w:r>
              <w:rPr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水清</w:t>
            </w:r>
            <w:r>
              <w:rPr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岸绿</w:t>
            </w:r>
            <w:r>
              <w:rPr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景美</w:t>
            </w:r>
            <w:r>
              <w:rPr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安全</w:t>
            </w:r>
            <w:r>
              <w:rPr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生态</w:t>
            </w:r>
          </w:p>
        </w:tc>
        <w:tc>
          <w:tcPr>
            <w:tcW w:w="4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通过新建护岸、巡查步道、生态景观节点、河道清淤以及加强河道管理等措施，达到“生态修复、景观提升、防洪安全”的目标，实现“河畅、水清、岸绿、景美、安全、生态”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86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生态修复区</w:t>
            </w:r>
          </w:p>
        </w:tc>
        <w:tc>
          <w:tcPr>
            <w:tcW w:w="227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SF0+000～SF1+260</w:t>
            </w:r>
            <w:r>
              <w:rPr>
                <w:rFonts w:hint="eastAsia"/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MX0+000～MX2+325</w:t>
            </w:r>
          </w:p>
        </w:tc>
        <w:tc>
          <w:tcPr>
            <w:tcW w:w="168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省汾溪、</w:t>
            </w:r>
            <w:r>
              <w:rPr>
                <w:rFonts w:hint="eastAsia"/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梅溪（汇合口至上院水电站上游120m现状滚水坝）</w:t>
            </w:r>
          </w:p>
        </w:tc>
        <w:tc>
          <w:tcPr>
            <w:tcW w:w="112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3.585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生态保护</w:t>
            </w:r>
          </w:p>
        </w:tc>
        <w:tc>
          <w:tcPr>
            <w:tcW w:w="3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全线</w:t>
            </w:r>
          </w:p>
        </w:tc>
        <w:tc>
          <w:tcPr>
            <w:tcW w:w="4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岸线蓝线划定3.585km</w:t>
            </w:r>
          </w:p>
        </w:tc>
        <w:tc>
          <w:tcPr>
            <w:tcW w:w="16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河畅、岸绿</w:t>
            </w:r>
          </w:p>
        </w:tc>
        <w:tc>
          <w:tcPr>
            <w:tcW w:w="4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安全、河畅、建立生态空间管控范围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86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227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68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1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44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生态水利</w:t>
            </w:r>
          </w:p>
        </w:tc>
        <w:tc>
          <w:tcPr>
            <w:tcW w:w="3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MX1+260～MX1+966</w:t>
            </w:r>
          </w:p>
        </w:tc>
        <w:tc>
          <w:tcPr>
            <w:tcW w:w="4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清淤清障0.706km</w:t>
            </w:r>
          </w:p>
        </w:tc>
        <w:tc>
          <w:tcPr>
            <w:tcW w:w="166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河畅、水清、案绿、安全</w:t>
            </w:r>
          </w:p>
        </w:tc>
        <w:tc>
          <w:tcPr>
            <w:tcW w:w="453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河道河岸及河床应保持稳定，保证行洪安全，构建安全河岸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6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227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68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1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4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SFZ0+000～SFZ0+420</w:t>
            </w:r>
            <w:r>
              <w:rPr>
                <w:rFonts w:hint="eastAsia"/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SFY0+000～SFY0+083</w:t>
            </w:r>
          </w:p>
        </w:tc>
        <w:tc>
          <w:tcPr>
            <w:tcW w:w="4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新建生态护岸0.503km</w:t>
            </w:r>
          </w:p>
        </w:tc>
        <w:tc>
          <w:tcPr>
            <w:tcW w:w="166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453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86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227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68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1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4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SF0+077</w:t>
            </w:r>
          </w:p>
        </w:tc>
        <w:tc>
          <w:tcPr>
            <w:tcW w:w="4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新建滚水坝一座</w:t>
            </w:r>
          </w:p>
        </w:tc>
        <w:tc>
          <w:tcPr>
            <w:tcW w:w="166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453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6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227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68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1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生态亲水</w:t>
            </w:r>
          </w:p>
        </w:tc>
        <w:tc>
          <w:tcPr>
            <w:tcW w:w="3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省汾村村口</w:t>
            </w:r>
          </w:p>
        </w:tc>
        <w:tc>
          <w:tcPr>
            <w:tcW w:w="4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新建景观节点一处</w:t>
            </w:r>
          </w:p>
        </w:tc>
        <w:tc>
          <w:tcPr>
            <w:tcW w:w="16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景美、生态</w:t>
            </w:r>
          </w:p>
        </w:tc>
        <w:tc>
          <w:tcPr>
            <w:tcW w:w="4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尊重自然、在维护河道原有生态风貌、展现当地文化、提升当地景观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6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227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68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1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标识管理</w:t>
            </w:r>
          </w:p>
        </w:tc>
        <w:tc>
          <w:tcPr>
            <w:tcW w:w="3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全线</w:t>
            </w:r>
          </w:p>
        </w:tc>
        <w:tc>
          <w:tcPr>
            <w:tcW w:w="4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蓝线界桩36座、项目标识牌1组、警示标识牌2组、指引式标识牌2组</w:t>
            </w:r>
          </w:p>
        </w:tc>
        <w:tc>
          <w:tcPr>
            <w:tcW w:w="16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河畅、安全</w:t>
            </w:r>
          </w:p>
        </w:tc>
        <w:tc>
          <w:tcPr>
            <w:tcW w:w="4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立标识管理系统，为居民生产生活提供安全保证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86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滨水提升区</w:t>
            </w:r>
          </w:p>
        </w:tc>
        <w:tc>
          <w:tcPr>
            <w:tcW w:w="227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MX2+325～MX5+320</w:t>
            </w:r>
            <w:r>
              <w:rPr>
                <w:rFonts w:hint="eastAsia"/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LL0+764～LL1+288</w:t>
            </w:r>
          </w:p>
        </w:tc>
        <w:tc>
          <w:tcPr>
            <w:tcW w:w="168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岭里溪、</w:t>
            </w:r>
            <w:r>
              <w:rPr>
                <w:rFonts w:hint="eastAsia"/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梅溪（上院水电站上游120m现状滚水坝至梅溪下游下坂村下坂桥）</w:t>
            </w:r>
          </w:p>
        </w:tc>
        <w:tc>
          <w:tcPr>
            <w:tcW w:w="112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4.139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生态保护</w:t>
            </w:r>
          </w:p>
        </w:tc>
        <w:tc>
          <w:tcPr>
            <w:tcW w:w="3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全线</w:t>
            </w:r>
          </w:p>
        </w:tc>
        <w:tc>
          <w:tcPr>
            <w:tcW w:w="4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岸线蓝线划定4.193km</w:t>
            </w:r>
          </w:p>
        </w:tc>
        <w:tc>
          <w:tcPr>
            <w:tcW w:w="16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河畅、岸绿</w:t>
            </w:r>
          </w:p>
        </w:tc>
        <w:tc>
          <w:tcPr>
            <w:tcW w:w="4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安全、河畅、建立生态空间管控范围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86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227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68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1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生态修复</w:t>
            </w:r>
          </w:p>
        </w:tc>
        <w:tc>
          <w:tcPr>
            <w:tcW w:w="3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XB0+143～XB0+434</w:t>
            </w:r>
          </w:p>
        </w:tc>
        <w:tc>
          <w:tcPr>
            <w:tcW w:w="4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生态缓冲带3000m</w:t>
            </w:r>
            <w:r>
              <w:rPr>
                <w:rFonts w:hint="eastAsia"/>
                <w:sz w:val="24"/>
                <w:szCs w:val="21"/>
                <w:vertAlign w:val="superscript"/>
              </w:rPr>
              <w:t>2</w:t>
            </w:r>
          </w:p>
        </w:tc>
        <w:tc>
          <w:tcPr>
            <w:tcW w:w="16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案绿、景美</w:t>
            </w:r>
          </w:p>
        </w:tc>
        <w:tc>
          <w:tcPr>
            <w:tcW w:w="4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构建水生动植物群落，营造水清岸绿的自然美景，落实河道周边截污控源措施，提升水质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5" w:hRule="atLeast"/>
          <w:jc w:val="center"/>
        </w:trPr>
        <w:tc>
          <w:tcPr>
            <w:tcW w:w="86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227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68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1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生态水利</w:t>
            </w:r>
          </w:p>
        </w:tc>
        <w:tc>
          <w:tcPr>
            <w:tcW w:w="3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SBA0+000～SBA0+079</w:t>
            </w:r>
            <w:r>
              <w:rPr>
                <w:rFonts w:hint="eastAsia"/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SBB0+000～SBB0+156</w:t>
            </w:r>
            <w:r>
              <w:rPr>
                <w:rFonts w:hint="eastAsia"/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SBC0+000～SBC0+142</w:t>
            </w:r>
            <w:r>
              <w:rPr>
                <w:rFonts w:hint="eastAsia"/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XB0+000～XB0+434</w:t>
            </w:r>
            <w:r>
              <w:rPr>
                <w:rFonts w:hint="eastAsia"/>
                <w:sz w:val="24"/>
                <w:szCs w:val="21"/>
              </w:rPr>
              <w:br w:type="textWrapping"/>
            </w:r>
            <w:r>
              <w:rPr>
                <w:rFonts w:hint="eastAsia"/>
                <w:sz w:val="24"/>
                <w:szCs w:val="21"/>
              </w:rPr>
              <w:t>JG0+000～JG0+637</w:t>
            </w:r>
          </w:p>
        </w:tc>
        <w:tc>
          <w:tcPr>
            <w:tcW w:w="4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新建生态护岸1.448km</w:t>
            </w:r>
          </w:p>
        </w:tc>
        <w:tc>
          <w:tcPr>
            <w:tcW w:w="16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河畅、案绿、安全</w:t>
            </w:r>
          </w:p>
        </w:tc>
        <w:tc>
          <w:tcPr>
            <w:tcW w:w="4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河道河岸及河床应保持稳定，保证行洪安全，构建安全河岸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6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227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68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1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生态亲水</w:t>
            </w:r>
          </w:p>
        </w:tc>
        <w:tc>
          <w:tcPr>
            <w:tcW w:w="3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上边村上院水电站、建功村岭里溪与支流汇合口处、下坂村</w:t>
            </w:r>
          </w:p>
        </w:tc>
        <w:tc>
          <w:tcPr>
            <w:tcW w:w="4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新建景观节点3处</w:t>
            </w:r>
          </w:p>
        </w:tc>
        <w:tc>
          <w:tcPr>
            <w:tcW w:w="16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景美、生态</w:t>
            </w:r>
          </w:p>
        </w:tc>
        <w:tc>
          <w:tcPr>
            <w:tcW w:w="4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尊重自然、在维护河道原有生态风貌、展现当地文化、提升当地景观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6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227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68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1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标识管理</w:t>
            </w:r>
          </w:p>
        </w:tc>
        <w:tc>
          <w:tcPr>
            <w:tcW w:w="3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全线</w:t>
            </w:r>
          </w:p>
        </w:tc>
        <w:tc>
          <w:tcPr>
            <w:tcW w:w="4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蓝线界桩42座、项目标识牌5组、警示标识牌10组、指引式标识牌10组</w:t>
            </w:r>
          </w:p>
        </w:tc>
        <w:tc>
          <w:tcPr>
            <w:tcW w:w="16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河畅、安全</w:t>
            </w:r>
          </w:p>
        </w:tc>
        <w:tc>
          <w:tcPr>
            <w:tcW w:w="4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立标识管理系统，为居民生产生活提供安全保证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86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生态涵养区</w:t>
            </w:r>
          </w:p>
        </w:tc>
        <w:tc>
          <w:tcPr>
            <w:tcW w:w="227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MX5+320～MX7+459</w:t>
            </w:r>
          </w:p>
        </w:tc>
        <w:tc>
          <w:tcPr>
            <w:tcW w:w="168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梅溪（梅溪下游下坂村下坂桥至和尚乾）</w:t>
            </w:r>
          </w:p>
        </w:tc>
        <w:tc>
          <w:tcPr>
            <w:tcW w:w="112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2.229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生态保护</w:t>
            </w:r>
          </w:p>
        </w:tc>
        <w:tc>
          <w:tcPr>
            <w:tcW w:w="3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全线</w:t>
            </w:r>
          </w:p>
        </w:tc>
        <w:tc>
          <w:tcPr>
            <w:tcW w:w="4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岸线蓝线划定2.229km</w:t>
            </w:r>
          </w:p>
        </w:tc>
        <w:tc>
          <w:tcPr>
            <w:tcW w:w="16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河畅、岸绿</w:t>
            </w:r>
          </w:p>
        </w:tc>
        <w:tc>
          <w:tcPr>
            <w:tcW w:w="4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安全、河畅、建立生态空间管控范围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86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227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68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1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生态水利</w:t>
            </w:r>
          </w:p>
        </w:tc>
        <w:tc>
          <w:tcPr>
            <w:tcW w:w="3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MX5+320～MX7+459</w:t>
            </w:r>
          </w:p>
        </w:tc>
        <w:tc>
          <w:tcPr>
            <w:tcW w:w="4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清淤清障2.</w:t>
            </w:r>
            <w:r>
              <w:rPr>
                <w:sz w:val="24"/>
                <w:szCs w:val="21"/>
              </w:rPr>
              <w:t>229</w:t>
            </w:r>
            <w:r>
              <w:rPr>
                <w:rFonts w:hint="eastAsia"/>
                <w:sz w:val="24"/>
                <w:szCs w:val="21"/>
              </w:rPr>
              <w:t>km</w:t>
            </w:r>
          </w:p>
        </w:tc>
        <w:tc>
          <w:tcPr>
            <w:tcW w:w="16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河畅、水清</w:t>
            </w:r>
          </w:p>
        </w:tc>
        <w:tc>
          <w:tcPr>
            <w:tcW w:w="4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河床保持稳定，保证行洪安全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6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227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68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1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标识管理</w:t>
            </w:r>
          </w:p>
        </w:tc>
        <w:tc>
          <w:tcPr>
            <w:tcW w:w="3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全线</w:t>
            </w:r>
          </w:p>
        </w:tc>
        <w:tc>
          <w:tcPr>
            <w:tcW w:w="43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蓝线界桩22座、项目标识牌1组、警示标识牌2组、指引式标识牌2组</w:t>
            </w:r>
          </w:p>
        </w:tc>
        <w:tc>
          <w:tcPr>
            <w:tcW w:w="16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河畅、安全</w:t>
            </w:r>
          </w:p>
        </w:tc>
        <w:tc>
          <w:tcPr>
            <w:tcW w:w="4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立标识管理系统，为居民生产生活提供安全保证</w:t>
            </w:r>
          </w:p>
        </w:tc>
      </w:tr>
    </w:tbl>
    <w:p>
      <w:pPr>
        <w:rPr>
          <w:rFonts w:ascii="仿宋" w:hAnsi="仿宋" w:eastAsia="仿宋"/>
          <w:b/>
          <w:sz w:val="28"/>
          <w:szCs w:val="28"/>
        </w:rPr>
      </w:pPr>
    </w:p>
    <w:p>
      <w:pPr>
        <w:rPr>
          <w:rFonts w:ascii="仿宋" w:hAnsi="仿宋" w:eastAsia="仿宋"/>
          <w:b/>
          <w:sz w:val="28"/>
          <w:szCs w:val="28"/>
        </w:rPr>
        <w:sectPr>
          <w:pgSz w:w="23814" w:h="16839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spacing w:line="480" w:lineRule="auto"/>
        <w:jc w:val="center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工程特性表</w:t>
      </w:r>
    </w:p>
    <w:p>
      <w:pPr>
        <w:jc w:val="center"/>
        <w:rPr>
          <w:rFonts w:hint="eastAsia"/>
        </w:rPr>
      </w:pPr>
    </w:p>
    <w:tbl>
      <w:tblPr>
        <w:tblStyle w:val="7"/>
        <w:tblW w:w="793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9"/>
        <w:gridCol w:w="3472"/>
        <w:gridCol w:w="851"/>
        <w:gridCol w:w="1417"/>
        <w:gridCol w:w="113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tblHeader/>
          <w:jc w:val="center"/>
        </w:trPr>
        <w:tc>
          <w:tcPr>
            <w:tcW w:w="1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序号</w:t>
            </w:r>
          </w:p>
        </w:tc>
        <w:tc>
          <w:tcPr>
            <w:tcW w:w="3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名</w:t>
            </w:r>
            <w:r>
              <w:rPr>
                <w:rFonts w:ascii="Times New Roman" w:hAnsi="Times New Roman"/>
                <w:sz w:val="24"/>
                <w:szCs w:val="21"/>
              </w:rPr>
              <w:t xml:space="preserve">    </w:t>
            </w:r>
            <w:r>
              <w:rPr>
                <w:rFonts w:hint="eastAsia"/>
                <w:sz w:val="24"/>
                <w:szCs w:val="21"/>
              </w:rPr>
              <w:t>称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单位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数量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一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水文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所在流域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梅溪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2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流域面积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km</w:t>
            </w:r>
            <w:r>
              <w:rPr>
                <w:rFonts w:ascii="Times New Roman" w:hAnsi="Times New Roman"/>
                <w:sz w:val="24"/>
                <w:szCs w:val="21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956.1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干流全长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km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78.6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河道比降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‰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4.2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二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工程规模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生态水系长度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km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10.007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三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主要设计内容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生态保护设计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km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10.007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岸线蓝线划定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km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10.007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2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生态修复设计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新建生态缓冲带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ascii="Times New Roman" w:hAnsi="Times New Roman"/>
                <w:sz w:val="24"/>
                <w:szCs w:val="21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3000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3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生态水利设计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清淤清障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ascii="Times New Roman" w:hAnsi="Times New Roman"/>
                <w:sz w:val="24"/>
                <w:szCs w:val="21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新建生态护岸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km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1.951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新建滚水坝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座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4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生态亲水设计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新建景观节点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处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5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标识管理设计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蓝线界桩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座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项目指示牌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组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警示标识牌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组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指引式标识牌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组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四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 w:ascii="等线" w:eastAsia="等线"/>
                <w:sz w:val="24"/>
                <w:szCs w:val="21"/>
              </w:rPr>
              <w:t>主要工程量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生态保护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河道岸线及生态保护蓝线界桩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个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2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生态修复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生态缓冲带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hint="eastAsia" w:ascii="宋体" w:hAnsi="宋体" w:eastAsia="宋体"/>
                <w:sz w:val="24"/>
                <w:szCs w:val="21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3000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3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生态水利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土方开挖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hint="eastAsia" w:ascii="宋体" w:hAnsi="宋体" w:eastAsia="宋体"/>
                <w:sz w:val="24"/>
                <w:szCs w:val="21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30030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土方回填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hint="eastAsia" w:ascii="宋体" w:hAnsi="宋体" w:eastAsia="宋体"/>
                <w:sz w:val="24"/>
                <w:szCs w:val="21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4018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生态联锁块护坡厚150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hint="eastAsia" w:ascii="宋体" w:hAnsi="宋体" w:eastAsia="宋体"/>
                <w:sz w:val="24"/>
                <w:szCs w:val="21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1787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土工布400g/m</w:t>
            </w:r>
            <w:r>
              <w:rPr>
                <w:rFonts w:hint="eastAsia"/>
                <w:sz w:val="24"/>
                <w:szCs w:val="21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ascii="宋体" w:hAnsi="宋体" w:eastAsia="宋体"/>
                <w:sz w:val="24"/>
                <w:szCs w:val="21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7752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碎石垫层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hint="eastAsia" w:ascii="宋体" w:hAnsi="宋体" w:eastAsia="宋体"/>
                <w:sz w:val="24"/>
                <w:szCs w:val="21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930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C20埋石砼挡墙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hint="eastAsia" w:ascii="宋体" w:hAnsi="宋体" w:eastAsia="宋体"/>
                <w:sz w:val="24"/>
                <w:szCs w:val="21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1151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C20埋石砼底板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hint="eastAsia" w:ascii="宋体" w:hAnsi="宋体" w:eastAsia="宋体"/>
                <w:sz w:val="24"/>
                <w:szCs w:val="21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1083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M10浆砌卵石贴面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hint="eastAsia" w:ascii="宋体" w:hAnsi="宋体" w:eastAsia="宋体"/>
                <w:sz w:val="24"/>
                <w:szCs w:val="21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292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抛石护脚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hint="eastAsia" w:ascii="宋体" w:hAnsi="宋体" w:eastAsia="宋体"/>
                <w:sz w:val="24"/>
                <w:szCs w:val="21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1864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75pvc排水管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644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C20砼压顶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hint="eastAsia" w:ascii="宋体" w:hAnsi="宋体" w:eastAsia="宋体"/>
                <w:sz w:val="24"/>
                <w:szCs w:val="21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495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仿木栏杆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2148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路缘石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3982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自洁式透水砖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sz w:val="24"/>
                <w:szCs w:val="21"/>
              </w:rPr>
              <w:t>m</w:t>
            </w:r>
            <w:r>
              <w:rPr>
                <w:sz w:val="24"/>
                <w:szCs w:val="21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2986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平面钢模板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sz w:val="24"/>
                <w:szCs w:val="21"/>
              </w:rPr>
              <w:t>m</w:t>
            </w:r>
            <w:r>
              <w:rPr>
                <w:sz w:val="24"/>
                <w:szCs w:val="21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9483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沥青杉板分缝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hint="eastAsia" w:ascii="宋体" w:hAnsi="宋体" w:eastAsia="宋体"/>
                <w:sz w:val="24"/>
                <w:szCs w:val="21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196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细部结构工程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ascii="宋体" w:hAnsi="宋体" w:eastAsia="宋体"/>
                <w:sz w:val="24"/>
                <w:szCs w:val="21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4102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土方回填（90%利用原土回填）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ascii="宋体" w:hAnsi="宋体" w:eastAsia="宋体"/>
                <w:sz w:val="24"/>
                <w:szCs w:val="21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11860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生态连锁块护坡厚150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ascii="宋体" w:hAnsi="宋体" w:eastAsia="宋体"/>
                <w:sz w:val="24"/>
                <w:szCs w:val="21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5965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C20埋石砼底板（厚500）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ascii="宋体" w:hAnsi="宋体" w:eastAsia="宋体"/>
                <w:sz w:val="24"/>
                <w:szCs w:val="21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691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C20砼基座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ascii="宋体" w:hAnsi="宋体" w:eastAsia="宋体"/>
                <w:sz w:val="24"/>
                <w:szCs w:val="21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256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大块卵石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sz w:val="24"/>
                <w:szCs w:val="21"/>
              </w:rPr>
              <w:t>t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348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土方回填（77%利用原土回填）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ascii="宋体" w:hAnsi="宋体" w:eastAsia="宋体"/>
                <w:sz w:val="24"/>
                <w:szCs w:val="21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7300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土方回填（65%利用原土回填）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ascii="宋体" w:hAnsi="宋体" w:eastAsia="宋体"/>
                <w:sz w:val="24"/>
                <w:szCs w:val="21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6449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C20钢筋混凝土箱涵5*3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hint="eastAsia" w:ascii="宋体" w:hAnsi="宋体" w:eastAsia="宋体"/>
                <w:sz w:val="24"/>
                <w:szCs w:val="21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干砌块石护坦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hint="eastAsia" w:ascii="宋体" w:hAnsi="宋体" w:eastAsia="宋体"/>
                <w:sz w:val="24"/>
                <w:szCs w:val="21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C10砼垫层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hint="eastAsia" w:ascii="宋体" w:hAnsi="宋体" w:eastAsia="宋体"/>
                <w:sz w:val="24"/>
                <w:szCs w:val="21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105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钢筋制安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sz w:val="24"/>
                <w:szCs w:val="21"/>
              </w:rPr>
              <w:t>t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</w:t>
            </w:r>
            <w:r>
              <w:rPr>
                <w:sz w:val="24"/>
                <w:szCs w:val="21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C25钢筋砼滚水坝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hint="eastAsia" w:ascii="宋体" w:hAnsi="宋体" w:eastAsia="宋体"/>
                <w:sz w:val="24"/>
                <w:szCs w:val="21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104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C25钢筋砼消力池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hint="eastAsia" w:ascii="宋体" w:hAnsi="宋体" w:eastAsia="宋体"/>
                <w:sz w:val="24"/>
                <w:szCs w:val="21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6</w:t>
            </w:r>
            <w:r>
              <w:rPr>
                <w:sz w:val="24"/>
                <w:szCs w:val="21"/>
              </w:rPr>
              <w:t>0.3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干砌块石护底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m</w:t>
            </w:r>
            <w:r>
              <w:rPr>
                <w:rFonts w:ascii="宋体" w:hAnsi="宋体" w:eastAsia="宋体"/>
                <w:sz w:val="24"/>
                <w:szCs w:val="21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140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过水汀步石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sz w:val="24"/>
                <w:szCs w:val="21"/>
              </w:rPr>
              <w:t>t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4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生态亲水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生态节点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个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5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标识管理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指示牌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个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标识系统标志牌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个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警示牌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个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五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工程总投资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万元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sz w:val="24"/>
                <w:szCs w:val="21"/>
              </w:rPr>
              <w:t>1814.10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工程部分投资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万元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sz w:val="24"/>
                <w:szCs w:val="21"/>
              </w:rPr>
              <w:t>1763.09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2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专项工程投资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万元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sz w:val="24"/>
                <w:szCs w:val="21"/>
              </w:rPr>
              <w:t>51.01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A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水土保持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万元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sz w:val="24"/>
                <w:szCs w:val="21"/>
              </w:rPr>
              <w:t>29.15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B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环境保护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万元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2</w:t>
            </w:r>
            <w:r>
              <w:rPr>
                <w:sz w:val="24"/>
                <w:szCs w:val="21"/>
              </w:rPr>
              <w:t>1.86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六</w:t>
            </w:r>
          </w:p>
        </w:tc>
        <w:tc>
          <w:tcPr>
            <w:tcW w:w="3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总工期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月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</w:p>
        </w:tc>
      </w:tr>
    </w:tbl>
    <w:p>
      <w:pPr>
        <w:rPr>
          <w:rFonts w:ascii="仿宋" w:hAnsi="仿宋" w:eastAsia="仿宋"/>
          <w:b/>
          <w:sz w:val="28"/>
          <w:szCs w:val="28"/>
        </w:rPr>
      </w:pPr>
    </w:p>
    <w:sectPr>
      <w:pgSz w:w="11907" w:h="16839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he time roman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93416201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</w:t>
        </w:r>
        <w: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560"/>
    <w:rsid w:val="00030AA3"/>
    <w:rsid w:val="00056D61"/>
    <w:rsid w:val="00076B3F"/>
    <w:rsid w:val="00086539"/>
    <w:rsid w:val="000C5606"/>
    <w:rsid w:val="000F4E44"/>
    <w:rsid w:val="00106BE4"/>
    <w:rsid w:val="001E39BA"/>
    <w:rsid w:val="00232D68"/>
    <w:rsid w:val="00253F58"/>
    <w:rsid w:val="002629BF"/>
    <w:rsid w:val="002A63E8"/>
    <w:rsid w:val="002D1B62"/>
    <w:rsid w:val="002E1E6E"/>
    <w:rsid w:val="003A7556"/>
    <w:rsid w:val="003D3A6C"/>
    <w:rsid w:val="003F0740"/>
    <w:rsid w:val="004560B9"/>
    <w:rsid w:val="0049151F"/>
    <w:rsid w:val="004D1380"/>
    <w:rsid w:val="004F70E6"/>
    <w:rsid w:val="00511D45"/>
    <w:rsid w:val="00550F69"/>
    <w:rsid w:val="00554895"/>
    <w:rsid w:val="00556199"/>
    <w:rsid w:val="00580A7F"/>
    <w:rsid w:val="005F388F"/>
    <w:rsid w:val="00614BEF"/>
    <w:rsid w:val="006A781A"/>
    <w:rsid w:val="006C4674"/>
    <w:rsid w:val="006D5EA5"/>
    <w:rsid w:val="007047C1"/>
    <w:rsid w:val="0070787D"/>
    <w:rsid w:val="00743BD5"/>
    <w:rsid w:val="00770E8C"/>
    <w:rsid w:val="007819A1"/>
    <w:rsid w:val="00804531"/>
    <w:rsid w:val="008059D7"/>
    <w:rsid w:val="00833B29"/>
    <w:rsid w:val="00856319"/>
    <w:rsid w:val="00863517"/>
    <w:rsid w:val="00883E89"/>
    <w:rsid w:val="008A50D4"/>
    <w:rsid w:val="00914BAA"/>
    <w:rsid w:val="00951997"/>
    <w:rsid w:val="00972948"/>
    <w:rsid w:val="009A7BAD"/>
    <w:rsid w:val="00A07F67"/>
    <w:rsid w:val="00A259B2"/>
    <w:rsid w:val="00A46A63"/>
    <w:rsid w:val="00A74736"/>
    <w:rsid w:val="00AE7930"/>
    <w:rsid w:val="00AF00B4"/>
    <w:rsid w:val="00B27271"/>
    <w:rsid w:val="00B3484A"/>
    <w:rsid w:val="00B77C6B"/>
    <w:rsid w:val="00B85444"/>
    <w:rsid w:val="00B90560"/>
    <w:rsid w:val="00BC07D5"/>
    <w:rsid w:val="00BD2FC0"/>
    <w:rsid w:val="00C157C8"/>
    <w:rsid w:val="00C354A9"/>
    <w:rsid w:val="00CB6FA8"/>
    <w:rsid w:val="00D27F21"/>
    <w:rsid w:val="00D87A61"/>
    <w:rsid w:val="00DC4322"/>
    <w:rsid w:val="00DE00D5"/>
    <w:rsid w:val="00DF4E94"/>
    <w:rsid w:val="00E37A5E"/>
    <w:rsid w:val="00EC2A46"/>
    <w:rsid w:val="00EE39D7"/>
    <w:rsid w:val="00F01844"/>
    <w:rsid w:val="00F5492A"/>
    <w:rsid w:val="00F644B2"/>
    <w:rsid w:val="00F83AB9"/>
    <w:rsid w:val="00F95060"/>
    <w:rsid w:val="00FC230F"/>
    <w:rsid w:val="00FD062A"/>
    <w:rsid w:val="510B7115"/>
    <w:rsid w:val="72AD3652"/>
    <w:rsid w:val="746519D8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6"/>
    <w:next w:val="1"/>
    <w:link w:val="14"/>
    <w:qFormat/>
    <w:uiPriority w:val="9"/>
    <w:pPr>
      <w:widowControl w:val="0"/>
      <w:snapToGrid w:val="0"/>
      <w:textAlignment w:val="center"/>
      <w:outlineLvl w:val="5"/>
    </w:pPr>
    <w:rPr>
      <w:rFonts w:ascii="仿宋_GB2312" w:hAnsi="Cambria" w:eastAsia="仿宋_GB2312" w:cs="Times New Roman"/>
      <w:bCs/>
      <w:kern w:val="2"/>
      <w:sz w:val="24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字符"/>
    <w:basedOn w:val="6"/>
    <w:link w:val="3"/>
    <w:semiHidden/>
    <w:qFormat/>
    <w:uiPriority w:val="99"/>
    <w:rPr>
      <w:sz w:val="18"/>
      <w:szCs w:val="18"/>
    </w:rPr>
  </w:style>
  <w:style w:type="paragraph" w:customStyle="1" w:styleId="9">
    <w:name w:val="表格"/>
    <w:basedOn w:val="1"/>
    <w:next w:val="1"/>
    <w:qFormat/>
    <w:uiPriority w:val="0"/>
    <w:pPr>
      <w:jc w:val="center"/>
    </w:pPr>
    <w:rPr>
      <w:rFonts w:ascii="Times New Roman" w:hAnsi="Times New Roman" w:eastAsia="仿宋" w:cs="Times New Roman"/>
      <w:kern w:val="0"/>
      <w:sz w:val="24"/>
    </w:rPr>
  </w:style>
  <w:style w:type="character" w:customStyle="1" w:styleId="10">
    <w:name w:val="页眉 字符"/>
    <w:basedOn w:val="6"/>
    <w:link w:val="5"/>
    <w:uiPriority w:val="99"/>
    <w:rPr>
      <w:sz w:val="18"/>
      <w:szCs w:val="18"/>
    </w:rPr>
  </w:style>
  <w:style w:type="character" w:customStyle="1" w:styleId="11">
    <w:name w:val="页脚 字符"/>
    <w:basedOn w:val="6"/>
    <w:link w:val="4"/>
    <w:uiPriority w:val="99"/>
    <w:rPr>
      <w:sz w:val="18"/>
      <w:szCs w:val="18"/>
    </w:rPr>
  </w:style>
  <w:style w:type="character" w:customStyle="1" w:styleId="12">
    <w:name w:val="J正文 Char"/>
    <w:link w:val="13"/>
    <w:uiPriority w:val="0"/>
    <w:rPr>
      <w:rFonts w:ascii="Times New Roman" w:hAnsi="the time roman" w:eastAsia="仿宋_GB2312" w:cs="Times New Roman"/>
      <w:sz w:val="28"/>
      <w:szCs w:val="28"/>
    </w:rPr>
  </w:style>
  <w:style w:type="paragraph" w:customStyle="1" w:styleId="13">
    <w:name w:val="J正文"/>
    <w:basedOn w:val="1"/>
    <w:link w:val="12"/>
    <w:qFormat/>
    <w:uiPriority w:val="0"/>
    <w:pPr>
      <w:spacing w:line="360" w:lineRule="auto"/>
      <w:ind w:firstLine="560" w:firstLineChars="200"/>
    </w:pPr>
    <w:rPr>
      <w:rFonts w:ascii="Times New Roman" w:hAnsi="the time roman" w:eastAsia="仿宋_GB2312" w:cs="Times New Roman"/>
      <w:sz w:val="28"/>
      <w:szCs w:val="28"/>
    </w:rPr>
  </w:style>
  <w:style w:type="character" w:customStyle="1" w:styleId="14">
    <w:name w:val="标题 6 字符"/>
    <w:basedOn w:val="6"/>
    <w:link w:val="2"/>
    <w:uiPriority w:val="9"/>
    <w:rPr>
      <w:rFonts w:ascii="仿宋_GB2312" w:hAnsi="Cambria" w:eastAsia="仿宋_GB2312" w:cs="Times New Roman"/>
      <w:bCs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3A27B1-89C8-4B31-ADB9-580A16F0B2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777</Words>
  <Characters>4433</Characters>
  <Lines>36</Lines>
  <Paragraphs>10</Paragraphs>
  <TotalTime>0</TotalTime>
  <ScaleCrop>false</ScaleCrop>
  <LinksUpToDate>false</LinksUpToDate>
  <CharactersWithSpaces>5200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2018-01-04T09:24:00Z</dcterms:created>
  <dc:creator>fjsdy</dc:creator>
  <cp:lastModifiedBy>NTKO</cp:lastModifiedBy>
  <dcterms:modified xsi:type="dcterms:W3CDTF">2020-07-21T02:04:31Z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