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900" w:leftChars="0" w:right="0" w:rightChars="0" w:hanging="900" w:hangingChars="25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福建省重点乡镇水土流失治理工程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连江县浦口镇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900" w:hanging="900" w:hangingChars="25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年度水土流失治理项目的竣工验收意见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900" w:hanging="900" w:hangingChars="25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《福建省省级水利专项资金管理办法》（闽财农指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[2017]57号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）、《福建省水土流失综合治理专项资金管理办法》（闽财农〔2012〕84号）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连江县水利局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的申请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日，我局在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连江县水利局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初验的基础上组织相关部门对福建省重点乡镇水土流失治理工程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连江县浦口镇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年度水土流失治理项目进行验收。参加验收的有：福州市水利局，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水利局（水保办），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连江县浦口镇人民政府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、施工单位（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福建省天都建筑工程有限公司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）、监理单位（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福建省泓川建设工程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有限公司）、设计单位（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福州市闽华工程设计有限公司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）等有关单位负责人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/>
          <w:bCs/>
          <w:color w:val="auto"/>
          <w:sz w:val="32"/>
          <w:szCs w:val="32"/>
        </w:rPr>
        <w:t>会议成立验收组。参验人员在</w:t>
      </w:r>
      <w:r>
        <w:rPr>
          <w:rFonts w:hint="eastAsia" w:ascii="仿宋_GB2312" w:hAnsi="Arial" w:eastAsia="仿宋_GB2312"/>
          <w:bCs/>
          <w:color w:val="auto"/>
          <w:sz w:val="32"/>
          <w:szCs w:val="32"/>
          <w:lang w:eastAsia="zh-CN"/>
        </w:rPr>
        <w:t>连江县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水</w:t>
      </w:r>
      <w:r>
        <w:rPr>
          <w:rFonts w:hint="eastAsia" w:ascii="仿宋_GB2312" w:hAnsi="Arial" w:eastAsia="仿宋_GB2312"/>
          <w:bCs/>
          <w:color w:val="auto"/>
          <w:sz w:val="32"/>
          <w:szCs w:val="32"/>
        </w:rPr>
        <w:t>利局初验及项目乡镇自查自验的基础上，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随机抽样复查</w:t>
      </w:r>
      <w:r>
        <w:rPr>
          <w:rFonts w:ascii="仿宋_GB2312" w:eastAsia="仿宋_GB2312"/>
          <w:bCs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现场检查了</w:t>
      </w:r>
      <w:r>
        <w:rPr>
          <w:rFonts w:hint="eastAsia" w:ascii="仿宋_GB2312" w:hAnsi="Arial" w:eastAsia="仿宋_GB2312"/>
          <w:bCs/>
          <w:color w:val="auto"/>
          <w:sz w:val="32"/>
          <w:szCs w:val="32"/>
        </w:rPr>
        <w:t>生态护岸等治理措施实施情况，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查阅了</w:t>
      </w:r>
      <w:r>
        <w:rPr>
          <w:rFonts w:hint="eastAsia" w:ascii="仿宋_GB2312" w:eastAsia="仿宋_GB2312"/>
          <w:color w:val="auto"/>
          <w:sz w:val="32"/>
          <w:szCs w:val="32"/>
        </w:rPr>
        <w:t>项目技术档案资料，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分别</w:t>
      </w:r>
      <w:r>
        <w:rPr>
          <w:rFonts w:ascii="仿宋_GB2312" w:eastAsia="仿宋_GB2312"/>
          <w:bCs/>
          <w:color w:val="auto"/>
          <w:sz w:val="32"/>
          <w:szCs w:val="32"/>
        </w:rPr>
        <w:t>听取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了</w:t>
      </w:r>
      <w:r>
        <w:rPr>
          <w:rFonts w:ascii="仿宋_GB2312" w:eastAsia="仿宋_GB2312"/>
          <w:bCs/>
          <w:color w:val="auto"/>
          <w:sz w:val="32"/>
          <w:szCs w:val="32"/>
        </w:rPr>
        <w:t>项目建设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、</w:t>
      </w:r>
      <w:r>
        <w:rPr>
          <w:rFonts w:ascii="仿宋_GB2312" w:eastAsia="仿宋_GB2312"/>
          <w:bCs/>
          <w:color w:val="auto"/>
          <w:sz w:val="32"/>
          <w:szCs w:val="32"/>
        </w:rPr>
        <w:t>监理、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设计及施工等</w:t>
      </w:r>
      <w:r>
        <w:rPr>
          <w:rFonts w:ascii="仿宋_GB2312" w:eastAsia="仿宋_GB2312"/>
          <w:bCs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</w:t>
      </w:r>
      <w:r>
        <w:rPr>
          <w:rFonts w:ascii="仿宋_GB2312" w:eastAsia="仿宋_GB2312"/>
          <w:bCs/>
          <w:color w:val="auto"/>
          <w:sz w:val="32"/>
          <w:szCs w:val="32"/>
        </w:rPr>
        <w:t>汇报。</w:t>
      </w:r>
      <w:r>
        <w:rPr>
          <w:rFonts w:hint="eastAsia" w:ascii="仿宋_GB2312" w:hAnsi="Arial" w:eastAsia="仿宋_GB2312"/>
          <w:bCs/>
          <w:color w:val="auto"/>
          <w:sz w:val="32"/>
          <w:szCs w:val="32"/>
        </w:rPr>
        <w:t>经质询讨论，验收组形成综合意见如下：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一、项目实施及完成情况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12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福建省重点乡镇水土流失治理工程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连江县浦口镇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年度水土流失治理项目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主要涉及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单湾溪小流域山坑村段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，批复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建设任务为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综合治理水土流失面积250hm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，主要建设内容包括：封禁治理250hm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安全生态水系建设1.566km，其中新建护岸工程722.9m（左岸350.38m，右岸372.52m）；新建休闲步道120.45m，新建卵石台阶2处，清淤清障1.566km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1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根据连江县水利局初验报告，项目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完成治理</w:t>
      </w:r>
      <w:r>
        <w:rPr>
          <w:rFonts w:hint="eastAsia" w:ascii="仿宋_GB2312" w:eastAsia="仿宋_GB2312"/>
          <w:color w:val="auto"/>
          <w:sz w:val="32"/>
          <w:szCs w:val="32"/>
        </w:rPr>
        <w:t>面积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250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hm</w:t>
      </w:r>
      <w:r>
        <w:rPr>
          <w:rFonts w:hint="eastAsia"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完成生态护岸建设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1.566km，其中新建护岸工程711.38m（左岸305.28m，右岸406.1m）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新建休闲步道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135.28m，新建卵石台阶2处，河道清淤清障1.566km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抽验情况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1、现场抽验各项治理措施的实施地点、建设内容，与批复的《项目实施方案》基本一致。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2、资金管理，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实行专账专款专用。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省级财政补助资金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到位150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已全部到位，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配套资金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21.91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3、项目管理，组织机构较健全，能按照有关规定与要求，执行项目主体责任制、招投标制、工程监理制、项目公示制、合同制等制度。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生态护岸为与上下游段护岸衔接存在部分变更。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5、原设计左岸人行步道120.45m变更为右岸人行步道135.28m，同时增加右岸休闲步道的绿化工程。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pacing w:val="-10"/>
          <w:sz w:val="32"/>
          <w:szCs w:val="32"/>
          <w:highlight w:val="none"/>
        </w:rPr>
        <w:t>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一步规范档案管理，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补充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完善项目建设基础相关文件和项目变更情况，完善治理前、中、后对比照片。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7、补充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竣工财务决算工作，建议委托第三方中介对项目资金使用情况作专项审计。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三、整改意见建议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1、业主应根据《福建省省级水利专项资金管理办法》（闽财农指[2017]57号）、《福建省水土流失综合治理专项资金管理办法》（闽财农〔2012〕84号）要求,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补充、完善自验工作报告尤其是要补充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完善</w:t>
      </w:r>
      <w:r>
        <w:rPr>
          <w:rFonts w:hint="eastAsia" w:ascii="仿宋_GB2312" w:hAnsi="仿宋" w:eastAsia="仿宋_GB2312"/>
          <w:bCs/>
          <w:sz w:val="32"/>
          <w:szCs w:val="32"/>
        </w:rPr>
        <w:t>单项措施验收评分表,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并根据验收组抽验所发现的存在问题，逐一进行整改并落实到位，使之达到设计、规范和相关规定的要求。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Arial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</w:t>
      </w:r>
      <w:r>
        <w:rPr>
          <w:rFonts w:hint="eastAsia" w:ascii="仿宋_GB2312" w:hAnsi="仿宋" w:eastAsia="仿宋_GB2312"/>
          <w:bCs/>
          <w:sz w:val="32"/>
          <w:szCs w:val="32"/>
        </w:rPr>
        <w:t>对未抽验到的工程措施、植物措施和内业资料，要进一步逐一进行核查，对发现问题应及时加以整改，使之达到设计、规范和相关规定的要求。对照设计文本及批复任务完善设计变更报批手续；监理单位应根据职责要求，对工程数量包括面积、个数、长度等和施工质量逐一进行认定并盖章确认，以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hAnsi="仿宋" w:eastAsia="仿宋_GB2312"/>
          <w:bCs/>
          <w:sz w:val="32"/>
          <w:szCs w:val="32"/>
        </w:rPr>
        <w:t>应按实际发生的工程量和合同进度严格资金拨付，要进一步加强对专项资金使用的监督检查，确保项目资金使用符合国家有关财务、会计制度的规定和要求。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4、规范工程设计变更，补充项目设计变更情况说明，并按规定做好相应的</w:t>
      </w:r>
      <w:r>
        <w:rPr>
          <w:rFonts w:hint="eastAsia" w:ascii="仿宋_GB2312" w:eastAsia="仿宋_GB2312"/>
          <w:bCs/>
          <w:sz w:val="32"/>
          <w:szCs w:val="32"/>
        </w:rPr>
        <w:t>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5、</w:t>
      </w:r>
      <w:r>
        <w:rPr>
          <w:rFonts w:hint="eastAsia" w:ascii="仿宋_GB2312" w:eastAsia="仿宋_GB2312"/>
          <w:bCs/>
          <w:sz w:val="32"/>
          <w:szCs w:val="32"/>
        </w:rPr>
        <w:t>办理工程移交手续，落实管护责任与</w:t>
      </w:r>
      <w:r>
        <w:rPr>
          <w:rFonts w:hint="eastAsia" w:ascii="仿宋_GB2312" w:hAnsi="Arial" w:eastAsia="仿宋_GB2312"/>
          <w:bCs/>
          <w:sz w:val="32"/>
          <w:szCs w:val="32"/>
        </w:rPr>
        <w:t>林草措施后期的施肥抚育，</w:t>
      </w:r>
      <w:r>
        <w:rPr>
          <w:rFonts w:hint="eastAsia" w:ascii="仿宋_GB2312" w:eastAsia="仿宋_GB2312"/>
          <w:bCs/>
          <w:sz w:val="32"/>
          <w:szCs w:val="32"/>
        </w:rPr>
        <w:t>管理保护已有治理成果，及时维修养护，充分发挥效益；充实完善项目治理过程中设计、施工、监理等主要技术环节，以及每一个环节中涉及的有关各方面的技术资料，达到收集齐全，规范整理。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综上所述，</w:t>
      </w:r>
      <w:r>
        <w:rPr>
          <w:rFonts w:hint="eastAsia" w:ascii="仿宋_GB2312" w:hAnsi="仿宋" w:eastAsia="仿宋_GB2312"/>
          <w:bCs/>
          <w:sz w:val="32"/>
          <w:szCs w:val="32"/>
        </w:rPr>
        <w:t>验收组根据抽验情况认为，</w:t>
      </w:r>
      <w:r>
        <w:rPr>
          <w:rFonts w:hint="eastAsia" w:ascii="仿宋" w:hAnsi="仿宋" w:eastAsia="仿宋" w:cs="仿宋"/>
          <w:bCs/>
          <w:sz w:val="32"/>
          <w:szCs w:val="32"/>
        </w:rPr>
        <w:t>福建省重点乡镇水土流失治理工程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连江县浦口镇</w:t>
      </w:r>
      <w:r>
        <w:rPr>
          <w:rFonts w:hint="eastAsia" w:ascii="仿宋" w:hAnsi="仿宋" w:eastAsia="仿宋" w:cs="仿宋"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年度水土流失治理项目</w:t>
      </w:r>
      <w:r>
        <w:rPr>
          <w:rFonts w:hint="eastAsia" w:ascii="仿宋_GB2312" w:hAnsi="仿宋" w:eastAsia="仿宋_GB2312"/>
          <w:sz w:val="32"/>
          <w:szCs w:val="32"/>
        </w:rPr>
        <w:t>，基本上按</w:t>
      </w:r>
      <w:r>
        <w:rPr>
          <w:rFonts w:hint="eastAsia" w:ascii="仿宋_GB2312" w:hAnsi="仿宋" w:eastAsia="仿宋_GB2312"/>
          <w:bCs/>
          <w:sz w:val="32"/>
          <w:szCs w:val="32"/>
        </w:rPr>
        <w:t>批复的计划任务进行实施，基本符合有关规定和要求，原则同意通过验收。业主要针对存在问题，抓紧整改，形成书面，加盖公章并附佐证材料，及时上报反馈。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福建省重点乡镇水土流失治理工程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连江县浦口镇</w:t>
      </w:r>
      <w:r>
        <w:rPr>
          <w:rFonts w:hint="eastAsia" w:ascii="仿宋" w:hAnsi="仿宋" w:eastAsia="仿宋" w:cs="仿宋"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年度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水土流失治理项目</w:t>
      </w:r>
      <w:r>
        <w:rPr>
          <w:rFonts w:hint="eastAsia" w:eastAsia="仿宋_GB2312"/>
          <w:bCs/>
          <w:sz w:val="32"/>
          <w:szCs w:val="32"/>
        </w:rPr>
        <w:t>验收组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</w:p>
    <w:p/>
    <w:sectPr>
      <w:headerReference r:id="rId3" w:type="default"/>
      <w:footerReference r:id="rId4" w:type="default"/>
      <w:pgSz w:w="11906" w:h="16838"/>
      <w:pgMar w:top="1327" w:right="1633" w:bottom="1327" w:left="1633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5457E"/>
    <w:rsid w:val="0FF54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2019-09-18T09:13:00Z</dcterms:created>
  <dc:creator>琰琰</dc:creator>
  <cp:lastModifiedBy>琰琰</cp:lastModifiedBy>
  <dcterms:modified xsi:type="dcterms:W3CDTF">2019-09-18T09:14:27Z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