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Calibri" w:hAnsi="Calibri" w:cs="Calibri"/>
          <w:b/>
          <w:kern w:val="0"/>
          <w:sz w:val="32"/>
          <w:szCs w:val="32"/>
        </w:rPr>
      </w:pPr>
      <w:r>
        <w:rPr>
          <w:rFonts w:hint="eastAsia" w:ascii="宋体" w:cs="宋体"/>
          <w:b/>
          <w:kern w:val="0"/>
          <w:sz w:val="32"/>
          <w:szCs w:val="32"/>
          <w:lang w:val="zh-CN"/>
        </w:rPr>
        <w:t>市政协提案建议及办理情况一览表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94"/>
        <w:gridCol w:w="4885"/>
        <w:gridCol w:w="1560"/>
        <w:gridCol w:w="1440"/>
        <w:gridCol w:w="1965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5" w:type="dxa"/>
            <w:gridSpan w:val="3"/>
            <w:noWrap w:val="0"/>
            <w:vAlign w:val="center"/>
          </w:tcPr>
          <w:p>
            <w:pPr>
              <w:widowControl/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以下项目由提案者填写：</w:t>
            </w:r>
          </w:p>
        </w:tc>
        <w:tc>
          <w:tcPr>
            <w:tcW w:w="7693" w:type="dxa"/>
            <w:gridSpan w:val="4"/>
            <w:noWrap w:val="0"/>
            <w:vAlign w:val="center"/>
          </w:tcPr>
          <w:p>
            <w:pPr>
              <w:widowControl/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以下项目由承办单位填写：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提案者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案由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提案编号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答复类别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承办单位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承办单位分管领导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市民建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关于打造韧性城市  提升我市抗风险能力的建议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212061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城建环保类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福州市水利局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提案建议及办理情况</w:t>
            </w:r>
          </w:p>
        </w:tc>
        <w:tc>
          <w:tcPr>
            <w:tcW w:w="5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建议内容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采纳情况</w:t>
            </w:r>
          </w:p>
        </w:tc>
        <w:tc>
          <w:tcPr>
            <w:tcW w:w="4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实施计划及进度安排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建议1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着力做实城市风险账本。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采纳</w:t>
            </w:r>
          </w:p>
        </w:tc>
        <w:tc>
          <w:tcPr>
            <w:tcW w:w="469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在推进水旱灾害风险普查实施方案编制。下一步，将结合贵委提案建议，组织开展全市水旱灾害重点隐患调查、风险评估、防治区划编制工作，建设和管理水利系统市级普查数据库。同时，主动对接气象、水文、应急等部门，共享数据资源，以提高水旱灾害风险的评估、监测预警、统计核查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建议2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着力做好城市空间规划体系。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采纳</w:t>
            </w:r>
          </w:p>
        </w:tc>
        <w:tc>
          <w:tcPr>
            <w:tcW w:w="469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贵委提案，对福州市水利基础设施空间布局规划报告进一步修编完善。将韧性城市规划理念融入到国土空间规划当中，进一步合理划定涉水生态空间，完善水利基础设施、水资源的布局，确定水生态保护修复重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建议3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着力强化城市公共设施韧性。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采纳</w:t>
            </w:r>
          </w:p>
        </w:tc>
        <w:tc>
          <w:tcPr>
            <w:tcW w:w="469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将韧性理念融入“十四五”水利基础设施网络规划。强化江海堤防工程建设和城区防洪治涝工程建设。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着力突破核心技术瓶颈。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采纳</w:t>
            </w:r>
          </w:p>
        </w:tc>
        <w:tc>
          <w:tcPr>
            <w:tcW w:w="469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与福州大学土木工程学院联合成立了“福州市河湖研究院”。积极推进“智慧水利”（一期）项目建设，预计2022年完成建设。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着力健全多主体联动管理机制。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采纳</w:t>
            </w:r>
          </w:p>
        </w:tc>
        <w:tc>
          <w:tcPr>
            <w:tcW w:w="469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开展水利系统防汛备汛工作。利用水周、5.12防灾日等开展水灾害防御宣传活动。</w:t>
            </w:r>
          </w:p>
        </w:tc>
      </w:tr>
    </w:tbl>
    <w:p>
      <w:r>
        <w:rPr>
          <w:rFonts w:hint="eastAsia"/>
        </w:rPr>
        <w:t>注：1、本表先由提案者根据提案原文填写建议内容，作为附件与提案原文同时提交；2、本表与立案提案同时交办承办单位，由承办单位根据办理情况及提案质量填写相关项目，作为附件与答复件同时反馈；3、提案者收到答复件后，根据承办单位办理质量填写评价意见；4、“采纳情况”请填写是否采纳提案建议，以及已采纳的落实情况，未采纳的主要原因；5、“实施计划及进度安排”请填写对采纳的提案建议拟采取的办理措施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46E6"/>
    <w:rsid w:val="7B1C4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2021-06-29T09:26:00Z</dcterms:created>
  <dc:creator>琰琰</dc:creator>
  <cp:lastModifiedBy>琰琰</cp:lastModifiedBy>
  <dcterms:modified xsi:type="dcterms:W3CDTF">2021-06-29T09:31:41Z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4C54A7CD661E45488B886C9D76FB27B3</vt:lpwstr>
  </property>
</Properties>
</file>